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Pr="00D31997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D31997">
        <w:rPr>
          <w:rFonts w:hint="cs"/>
          <w:sz w:val="28"/>
          <w:szCs w:val="28"/>
          <w:rtl/>
          <w:lang w:bidi="ar-IQ"/>
        </w:rPr>
        <w:t>المحاضرة التاسعة والعشرون</w:t>
      </w:r>
    </w:p>
    <w:p w:rsidR="00F0538A" w:rsidRPr="00D31997" w:rsidRDefault="00F0538A" w:rsidP="00F0538A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 /المحكمة الجنائية الدولية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النشاة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يسود التسوية القضائية مبدا اساس وهو ان التقاضي في الشؤون الدولية منوط </w:t>
      </w:r>
      <w:proofErr w:type="spellStart"/>
      <w:r>
        <w:rPr>
          <w:rFonts w:hint="cs"/>
          <w:sz w:val="28"/>
          <w:szCs w:val="28"/>
          <w:rtl/>
          <w:lang w:bidi="ar-IQ"/>
        </w:rPr>
        <w:t>بارادة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اي ان موافقتها  تعد شرطا مسبقا لتسوية المنازعات عن طريق القضاء الدولي وقد اقرت هذا </w:t>
      </w:r>
      <w:proofErr w:type="spellStart"/>
      <w:r>
        <w:rPr>
          <w:rFonts w:hint="cs"/>
          <w:sz w:val="28"/>
          <w:szCs w:val="28"/>
          <w:rtl/>
          <w:lang w:bidi="ar-IQ"/>
        </w:rPr>
        <w:t>المبدا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محكمة العدل الدولية الدائمة .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وسنتطرق في هذه المحاضرة الى .</w:t>
      </w:r>
    </w:p>
    <w:p w:rsidR="00F0538A" w:rsidRDefault="00F0538A" w:rsidP="00F0538A">
      <w:pPr>
        <w:pStyle w:val="a3"/>
        <w:numPr>
          <w:ilvl w:val="0"/>
          <w:numId w:val="20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محكمة العدل الدولية .</w:t>
      </w:r>
    </w:p>
    <w:p w:rsidR="00F0538A" w:rsidRDefault="00F0538A" w:rsidP="00F0538A">
      <w:pPr>
        <w:pStyle w:val="a3"/>
        <w:numPr>
          <w:ilvl w:val="0"/>
          <w:numId w:val="20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تكوين المحكمة .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66C7F"/>
    <w:rsid w:val="006B16A9"/>
    <w:rsid w:val="0096723E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>Microsoft (C)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2018-02-11T08:25:00Z</dcterms:modified>
</cp:coreProperties>
</file>