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1B" w:rsidRPr="00016127" w:rsidRDefault="00A5351B" w:rsidP="00A5351B">
      <w:pPr>
        <w:jc w:val="center"/>
        <w:rPr>
          <w:rFonts w:asciiTheme="minorBidi" w:hAnsiTheme="minorBidi"/>
          <w:b/>
          <w:bCs/>
          <w:sz w:val="32"/>
          <w:szCs w:val="32"/>
          <w:lang w:bidi="ar-IQ"/>
        </w:rPr>
      </w:pPr>
      <w:r w:rsidRPr="00016127">
        <w:rPr>
          <w:rFonts w:asciiTheme="minorBidi" w:hAnsiTheme="minorBidi"/>
          <w:b/>
          <w:bCs/>
          <w:sz w:val="32"/>
          <w:szCs w:val="32"/>
          <w:rtl/>
        </w:rPr>
        <w:t>الخطابة في العصر العباسي</w:t>
      </w:r>
    </w:p>
    <w:p w:rsidR="00A5351B" w:rsidRPr="00016127" w:rsidRDefault="00A5351B" w:rsidP="00A5351B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شهدَ مطلع العصر العباسي نشاطًا ملحوظًا في فنّ الخطابةِ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السياسية،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حيث استندت إليها الثورة العباسية لإثبات أحقية بني العباس في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الخلافة،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ويشار إلى أن الخطابة في العصر العباسي تتشابه مع الخطابة في </w:t>
      </w:r>
      <w:hyperlink r:id="rId5" w:history="1">
        <w:r w:rsidRPr="00016127">
          <w:rPr>
            <w:rStyle w:val="Hyperlink"/>
            <w:rFonts w:asciiTheme="minorBidi" w:hAnsiTheme="minorBidi"/>
            <w:b/>
            <w:bCs/>
            <w:sz w:val="28"/>
            <w:szCs w:val="28"/>
            <w:rtl/>
          </w:rPr>
          <w:t>العصر الأموي</w:t>
        </w:r>
      </w:hyperlink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 وصدر الإسلام من حيث المضمون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والشكل،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وقد أصبحت مع مرور الوقت من أهمّ مقتضيات الحياة السياسية العربية إلى جانب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السلاح،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ويُشار إلى أنّها كانت الوسيلة الأولى لِبني العباس لإثبات سلطانهم وترسيخ جذور دولتهم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وتوطيدها،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وما أسهم في تطوّر الخطابة في ذلك العصر ازدياد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الفتوحات،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فكانت تستخدم كوسيلة لبث الروح الجهادية لدى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المقاتلين،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ونشر الدروس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والوعظ،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إلا أنها قد بدأت تفقد مكانتها في أواخر العصر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العباسيّ؛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نظرًا لضعف الدولة وبدء سريان الفساد في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جسدها،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وقد برز في هذا الفن بشكلٍ جلي كلٌّ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من: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الخليفة المهدي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العباسيّ،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الخليفة هارون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الرشيد،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والخليفة المأمون.</w:t>
      </w:r>
    </w:p>
    <w:p w:rsidR="00A5351B" w:rsidRPr="00016127" w:rsidRDefault="00A5351B" w:rsidP="00A5351B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016127">
        <w:rPr>
          <w:rFonts w:asciiTheme="minorBidi" w:hAnsiTheme="minorBidi"/>
          <w:b/>
          <w:bCs/>
          <w:sz w:val="32"/>
          <w:szCs w:val="32"/>
          <w:rtl/>
        </w:rPr>
        <w:t>أنواع الخطابة في العصر العباسي</w:t>
      </w:r>
    </w:p>
    <w:p w:rsidR="00A5351B" w:rsidRPr="00016127" w:rsidRDefault="00A5351B" w:rsidP="00A5351B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تعدّدت الضروب التي استُخدم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بها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فن الخطابة في العصر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العباسي،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حيث كانت تخدم جميع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الميادين،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مما أفضى إلى ازدهارها وتطوّرها لتكمل مسيرة العصور السابقة في تطوّر الأدب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العربي،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ومن أهم أنواع هذه الخطابة:</w:t>
      </w:r>
    </w:p>
    <w:p w:rsidR="00A5351B" w:rsidRPr="00016127" w:rsidRDefault="00A5351B" w:rsidP="00A5351B">
      <w:pPr>
        <w:pStyle w:val="a3"/>
        <w:numPr>
          <w:ilvl w:val="0"/>
          <w:numId w:val="13"/>
        </w:num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الخطب السياسية: وكان يقف الخلفاء والقادة لإلقائها في مقاصدٍ لتشجيع الجنود وبث الروح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الجهادية،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واستقبال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الوفود،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وأول خطبة كانت خطبة أبو العباس.</w:t>
      </w:r>
    </w:p>
    <w:p w:rsidR="00A5351B" w:rsidRPr="00016127" w:rsidRDefault="00A5351B" w:rsidP="00A5351B">
      <w:pPr>
        <w:numPr>
          <w:ilvl w:val="0"/>
          <w:numId w:val="13"/>
        </w:num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الخطب الدينية: كان الخُطباء يلقون خطبهم الدينية في أيام الجمع والأعياد الرسمية والمناسبات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الدينية،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ومن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أشهرها: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خطبة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المهدي،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وخطبة هارون الرشيد.</w:t>
      </w:r>
    </w:p>
    <w:p w:rsidR="00A5351B" w:rsidRPr="00016127" w:rsidRDefault="00A5351B" w:rsidP="00A5351B">
      <w:pPr>
        <w:numPr>
          <w:ilvl w:val="0"/>
          <w:numId w:val="13"/>
        </w:num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الخطب الاجتماعية: وتتعدّد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أنواعها،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كالذم والمدح والعتاب والاستعطاف وغيرها الكثير.</w:t>
      </w:r>
    </w:p>
    <w:p w:rsidR="00A5351B" w:rsidRPr="00016127" w:rsidRDefault="00A5351B" w:rsidP="00A5351B">
      <w:pPr>
        <w:pStyle w:val="a3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016127">
        <w:rPr>
          <w:rFonts w:asciiTheme="minorBidi" w:hAnsiTheme="minorBidi"/>
          <w:b/>
          <w:bCs/>
          <w:sz w:val="32"/>
          <w:szCs w:val="32"/>
          <w:rtl/>
        </w:rPr>
        <w:t>خصائص الخطبة:</w:t>
      </w:r>
    </w:p>
    <w:p w:rsidR="00A5351B" w:rsidRPr="00016127" w:rsidRDefault="00A5351B" w:rsidP="00A5351B">
      <w:pPr>
        <w:pStyle w:val="a3"/>
        <w:jc w:val="both"/>
        <w:rPr>
          <w:rFonts w:asciiTheme="minorBidi" w:hAnsiTheme="minorBidi"/>
          <w:b/>
          <w:bCs/>
          <w:sz w:val="28"/>
          <w:szCs w:val="28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لعل أبرز الخصائص التي تختص فيها الخطبة ما يأتي:</w:t>
      </w:r>
    </w:p>
    <w:p w:rsidR="00A5351B" w:rsidRPr="00016127" w:rsidRDefault="00A5351B" w:rsidP="00A5351B">
      <w:pPr>
        <w:pStyle w:val="a3"/>
        <w:numPr>
          <w:ilvl w:val="1"/>
          <w:numId w:val="14"/>
        </w:num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الإقناع بالدليل واستخدام الحجة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الواضحة،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والموعظة الحسنة. </w:t>
      </w:r>
    </w:p>
    <w:p w:rsidR="00A5351B" w:rsidRPr="00016127" w:rsidRDefault="00A5351B" w:rsidP="00A5351B">
      <w:pPr>
        <w:pStyle w:val="a3"/>
        <w:numPr>
          <w:ilvl w:val="1"/>
          <w:numId w:val="14"/>
        </w:num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الجنوح إلى الوضوح الذي يُبين قصد الخطيب من خطبته. </w:t>
      </w:r>
    </w:p>
    <w:p w:rsidR="00A5351B" w:rsidRPr="00016127" w:rsidRDefault="00A5351B" w:rsidP="00A5351B">
      <w:pPr>
        <w:pStyle w:val="a3"/>
        <w:numPr>
          <w:ilvl w:val="1"/>
          <w:numId w:val="14"/>
        </w:num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البعد عن التضليل والعبارات الغامضة. السهولة التامة والوضوح في نص ومحتوى الخطبة. </w:t>
      </w:r>
    </w:p>
    <w:p w:rsidR="00A5351B" w:rsidRPr="00016127" w:rsidRDefault="00A5351B" w:rsidP="00A5351B">
      <w:pPr>
        <w:pStyle w:val="a3"/>
        <w:numPr>
          <w:ilvl w:val="1"/>
          <w:numId w:val="14"/>
        </w:num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استعمال أسلوب المجاز في نقل رسالة الخطبة إلى الجمهور. </w:t>
      </w:r>
    </w:p>
    <w:p w:rsidR="00A5351B" w:rsidRPr="00016127" w:rsidRDefault="00A5351B" w:rsidP="00A5351B">
      <w:pPr>
        <w:pStyle w:val="a3"/>
        <w:numPr>
          <w:ilvl w:val="1"/>
          <w:numId w:val="14"/>
        </w:num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اجتناب التكلف والتصنع قدر الإمكان. التوسط بين الإيجاز والإطناب.</w:t>
      </w:r>
    </w:p>
    <w:p w:rsidR="00A5351B" w:rsidRPr="00016127" w:rsidRDefault="00A5351B" w:rsidP="00A5351B">
      <w:pPr>
        <w:pStyle w:val="a3"/>
        <w:numPr>
          <w:ilvl w:val="1"/>
          <w:numId w:val="14"/>
        </w:num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التنويع في الصيغ المستخدمة في الخطبة. </w:t>
      </w:r>
    </w:p>
    <w:p w:rsidR="00A5351B" w:rsidRPr="00016127" w:rsidRDefault="00A5351B" w:rsidP="00A5351B">
      <w:pPr>
        <w:pStyle w:val="a3"/>
        <w:numPr>
          <w:ilvl w:val="1"/>
          <w:numId w:val="14"/>
        </w:num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استعمال القصص القرآنية والتاريخية</w:t>
      </w:r>
      <w:r w:rsidRPr="00016127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.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016127">
        <w:rPr>
          <w:rFonts w:asciiTheme="minorBidi" w:hAnsiTheme="minorBidi"/>
          <w:b/>
          <w:bCs/>
          <w:sz w:val="28"/>
          <w:szCs w:val="28"/>
        </w:rPr>
        <w:br/>
      </w:r>
    </w:p>
    <w:p w:rsidR="00A5351B" w:rsidRPr="00016127" w:rsidRDefault="00A5351B" w:rsidP="00A5351B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016127">
        <w:rPr>
          <w:rFonts w:asciiTheme="minorBidi" w:hAnsiTheme="minorBidi"/>
          <w:b/>
          <w:bCs/>
          <w:sz w:val="32"/>
          <w:szCs w:val="32"/>
          <w:rtl/>
        </w:rPr>
        <w:lastRenderedPageBreak/>
        <w:t>مميزات الخطابة في العصر العباسي</w:t>
      </w:r>
    </w:p>
    <w:p w:rsidR="00A5351B" w:rsidRPr="00016127" w:rsidRDefault="00A5351B" w:rsidP="00A5351B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اتخذتِ الخطابة في العصر العباسيّ مجموعة من الخصائص والسمات لتنفرد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بها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عمّا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سبقها،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ويعود ذلك لتعدُّدِ أنواعها في ذلك العصر خاصّةً في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مطلعِه،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ومن أهمّ الخصائص التي طغَت على الفنّ الخطابي:</w:t>
      </w:r>
    </w:p>
    <w:p w:rsidR="00A5351B" w:rsidRPr="00016127" w:rsidRDefault="00A5351B" w:rsidP="00A5351B">
      <w:pPr>
        <w:numPr>
          <w:ilvl w:val="0"/>
          <w:numId w:val="14"/>
        </w:num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جزالة الألفاظ.</w:t>
      </w:r>
    </w:p>
    <w:p w:rsidR="00A5351B" w:rsidRPr="00016127" w:rsidRDefault="00A5351B" w:rsidP="00A5351B">
      <w:pPr>
        <w:numPr>
          <w:ilvl w:val="0"/>
          <w:numId w:val="14"/>
        </w:num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قلّة السجع في نصوصها.</w:t>
      </w:r>
    </w:p>
    <w:p w:rsidR="00A5351B" w:rsidRPr="00016127" w:rsidRDefault="00A5351B" w:rsidP="00A5351B">
      <w:pPr>
        <w:numPr>
          <w:ilvl w:val="0"/>
          <w:numId w:val="14"/>
        </w:num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الاستشهاد بآيات القرآن الكريم والسنة النبويّة الشريفة بكثرة.</w:t>
      </w:r>
    </w:p>
    <w:p w:rsidR="00A5351B" w:rsidRPr="00016127" w:rsidRDefault="00A5351B" w:rsidP="00A5351B">
      <w:pPr>
        <w:numPr>
          <w:ilvl w:val="0"/>
          <w:numId w:val="14"/>
        </w:num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غلبة الإيجاز على حساب الإطناب.</w:t>
      </w:r>
    </w:p>
    <w:p w:rsidR="00A5351B" w:rsidRPr="00016127" w:rsidRDefault="00A5351B" w:rsidP="00A5351B">
      <w:pPr>
        <w:numPr>
          <w:ilvl w:val="0"/>
          <w:numId w:val="14"/>
        </w:num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الاستعانة بالشعر والاستشهاد منه.</w:t>
      </w:r>
    </w:p>
    <w:p w:rsidR="00A5351B" w:rsidRPr="00016127" w:rsidRDefault="00A5351B" w:rsidP="00A5351B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من أبرز خطباء هذا العصر كان للخَطابة في هذا العصر مكانة في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النفوس،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وسلطان على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القلوب،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فقد اعتمد عليها في توطيد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الملك،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وتحميس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الجند،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واستقبال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الوفود،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وكان للخلفاء الأولين ودعاتهم فيها الشأن الرفيع والشأو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البعيد،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ومنهم:</w:t>
      </w:r>
    </w:p>
    <w:p w:rsidR="00A5351B" w:rsidRPr="00016127" w:rsidRDefault="00A5351B" w:rsidP="00A5351B">
      <w:pPr>
        <w:pStyle w:val="a3"/>
        <w:numPr>
          <w:ilvl w:val="0"/>
          <w:numId w:val="15"/>
        </w:num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أبو العباس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السّفاح: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الذي خطب يوم بويع بالخلافة في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الكوفة،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فتحدّث عن مكانة العباسين وعن قرابتهم للرسول عليه الصلاة والسلام. </w:t>
      </w:r>
    </w:p>
    <w:p w:rsidR="00152855" w:rsidRPr="00A5351B" w:rsidRDefault="00A5351B" w:rsidP="00A5351B">
      <w:pPr>
        <w:bidi/>
        <w:jc w:val="both"/>
        <w:rPr>
          <w:b/>
          <w:bCs/>
          <w:sz w:val="28"/>
          <w:szCs w:val="28"/>
          <w:rtl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محمد بن عبد الله بن الحسن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العوي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>: الملقب بالنفس الزكية هو أحد معارضي حكم العباسيين كان مشعل الثورة التي سُميّت باسمه في عهد أبو جعفر المنصور</w:t>
      </w:r>
      <w:r w:rsidRPr="00016127">
        <w:rPr>
          <w:rFonts w:asciiTheme="minorBidi" w:hAnsiTheme="minorBidi"/>
          <w:b/>
          <w:bCs/>
          <w:sz w:val="28"/>
          <w:szCs w:val="28"/>
        </w:rPr>
        <w:t>.</w:t>
      </w:r>
      <w:r w:rsidRPr="00016127">
        <w:rPr>
          <w:rFonts w:asciiTheme="minorBidi" w:hAnsiTheme="minorBidi"/>
          <w:b/>
          <w:bCs/>
          <w:sz w:val="28"/>
          <w:szCs w:val="28"/>
        </w:rPr>
        <w:br/>
      </w:r>
    </w:p>
    <w:sectPr w:rsidR="00152855" w:rsidRPr="00A5351B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49A6"/>
    <w:multiLevelType w:val="multilevel"/>
    <w:tmpl w:val="CE6ED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84FA8"/>
    <w:multiLevelType w:val="hybridMultilevel"/>
    <w:tmpl w:val="F424BD60"/>
    <w:lvl w:ilvl="0" w:tplc="51942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E7E6B"/>
    <w:multiLevelType w:val="hybridMultilevel"/>
    <w:tmpl w:val="6EA2D90A"/>
    <w:lvl w:ilvl="0" w:tplc="F6CEE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27628"/>
    <w:multiLevelType w:val="hybridMultilevel"/>
    <w:tmpl w:val="DEB450D4"/>
    <w:lvl w:ilvl="0" w:tplc="5D4E06E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4FBC2A8C"/>
    <w:multiLevelType w:val="hybridMultilevel"/>
    <w:tmpl w:val="1BA4CCE4"/>
    <w:lvl w:ilvl="0" w:tplc="058C1800">
      <w:start w:val="1"/>
      <w:numFmt w:val="arabicAlpha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E7C91"/>
    <w:multiLevelType w:val="hybridMultilevel"/>
    <w:tmpl w:val="D222EF24"/>
    <w:lvl w:ilvl="0" w:tplc="A030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8401F"/>
    <w:multiLevelType w:val="hybridMultilevel"/>
    <w:tmpl w:val="F3C21ED6"/>
    <w:lvl w:ilvl="0" w:tplc="2856E5A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68C33D1D"/>
    <w:multiLevelType w:val="multilevel"/>
    <w:tmpl w:val="49DC13A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Bidi" w:eastAsiaTheme="minorHAnsi" w:hAnsiTheme="minorBid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F8055A2"/>
    <w:multiLevelType w:val="multilevel"/>
    <w:tmpl w:val="BA56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A1158"/>
    <w:multiLevelType w:val="hybridMultilevel"/>
    <w:tmpl w:val="2760FB3A"/>
    <w:lvl w:ilvl="0" w:tplc="35E26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47F2C"/>
    <w:multiLevelType w:val="hybridMultilevel"/>
    <w:tmpl w:val="5D621148"/>
    <w:lvl w:ilvl="0" w:tplc="7E6EE9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012633"/>
    <w:rsid w:val="00093CAF"/>
    <w:rsid w:val="00152855"/>
    <w:rsid w:val="001976E4"/>
    <w:rsid w:val="002A5AA7"/>
    <w:rsid w:val="002E6535"/>
    <w:rsid w:val="0034675E"/>
    <w:rsid w:val="00371479"/>
    <w:rsid w:val="00483A2D"/>
    <w:rsid w:val="004C732D"/>
    <w:rsid w:val="004D2169"/>
    <w:rsid w:val="004F6D1C"/>
    <w:rsid w:val="00550946"/>
    <w:rsid w:val="00717737"/>
    <w:rsid w:val="00736C95"/>
    <w:rsid w:val="00825FA7"/>
    <w:rsid w:val="00896B01"/>
    <w:rsid w:val="009F0969"/>
    <w:rsid w:val="00A07422"/>
    <w:rsid w:val="00A245B5"/>
    <w:rsid w:val="00A5351B"/>
    <w:rsid w:val="00A70B20"/>
    <w:rsid w:val="00A83F0F"/>
    <w:rsid w:val="00AB35F7"/>
    <w:rsid w:val="00B93CC9"/>
    <w:rsid w:val="00BE49C2"/>
    <w:rsid w:val="00C9401D"/>
    <w:rsid w:val="00D35D04"/>
    <w:rsid w:val="00D43F52"/>
    <w:rsid w:val="00D46CDB"/>
    <w:rsid w:val="00D50063"/>
    <w:rsid w:val="00DB4BC7"/>
    <w:rsid w:val="00E6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24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ziwezi.com/%D8%A7%D9%84%D8%A3%D8%AF%D8%A8-%D9%81%D9%8A-%D8%A7%D9%84%D8%B9%D8%B5%D8%B1-%D8%A7%D9%84%D8%A3%D9%85%D9%88%D9%8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2431</Characters>
  <Application>Microsoft Office Word</Application>
  <DocSecurity>0</DocSecurity>
  <Lines>20</Lines>
  <Paragraphs>5</Paragraphs>
  <ScaleCrop>false</ScaleCrop>
  <Company>SACC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18</cp:revision>
  <dcterms:created xsi:type="dcterms:W3CDTF">2019-12-17T22:38:00Z</dcterms:created>
  <dcterms:modified xsi:type="dcterms:W3CDTF">2019-12-17T23:30:00Z</dcterms:modified>
</cp:coreProperties>
</file>