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06" w:rsidRPr="00212906" w:rsidRDefault="009172B5" w:rsidP="00212906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lang w:bidi="ar-IQ"/>
        </w:rPr>
        <w:t>Breech presentation</w:t>
      </w:r>
    </w:p>
    <w:p w:rsidR="00212906" w:rsidRPr="00212906" w:rsidRDefault="009172B5" w:rsidP="00212906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</w:t>
      </w:r>
      <w:r w:rsidR="00212906" w:rsidRPr="00212906">
        <w:rPr>
          <w:rFonts w:asciiTheme="majorBidi" w:hAnsiTheme="majorBidi" w:cstheme="majorBidi"/>
          <w:sz w:val="32"/>
          <w:szCs w:val="32"/>
          <w:rtl/>
          <w:lang w:bidi="ar-IQ"/>
        </w:rPr>
        <w:t>ا.م.د.علي مراد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Breech presentation occurs when the fetal buttocks or lower extremities present into the maternal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pelvis .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 incidence of beech presentation is 4% of all deliveries .prior to 28 weeks approximately25% of fetuses are in a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breech  presentation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>Etiology :</w:t>
      </w:r>
      <w:proofErr w:type="gramEnd"/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1-The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magor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factors predisposing to breech presentation is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prematurity .</w:t>
      </w:r>
      <w:proofErr w:type="gramEnd"/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2-structural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anomalies 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e.g</w:t>
      </w:r>
      <w:proofErr w:type="spellEnd"/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hydrocephlus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.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3-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uterine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anomalies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e.g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bicornoate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uterus .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4-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multiple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gestation .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5-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placenta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previa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.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6-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contracted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maternal pelvis .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7 –pelvic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tumour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that obstruct birth canal .fibroid</w:t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Classification 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>:</w:t>
      </w:r>
      <w:proofErr w:type="gramEnd"/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000000" w:rsidRPr="00212906" w:rsidRDefault="00212906" w:rsidP="00212906">
      <w:pPr>
        <w:numPr>
          <w:ilvl w:val="0"/>
          <w:numId w:val="1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1.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Frank breech occurs when both fetal thighs are flexed and both lower extremities are extended at the knees </w:t>
      </w:r>
    </w:p>
    <w:p w:rsidR="00000000" w:rsidRPr="00212906" w:rsidRDefault="00212906" w:rsidP="009172B5">
      <w:pPr>
        <w:numPr>
          <w:ilvl w:val="0"/>
          <w:numId w:val="1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2.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>Complete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breech has both thighs flexed and one or 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>both knees flexed (sitting in a squat position ).</w:t>
      </w:r>
    </w:p>
    <w:p w:rsidR="00000000" w:rsidRPr="00212906" w:rsidRDefault="00212906" w:rsidP="009172B5">
      <w:pPr>
        <w:numPr>
          <w:ilvl w:val="0"/>
          <w:numId w:val="1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3.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>An incomplete or footling breech has one or both thighs extended and one or both knees or feet lying bellow the buttocks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000000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  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drawing>
          <wp:inline distT="0" distB="0" distL="0" distR="0">
            <wp:extent cx="1816443" cy="138212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43" cy="138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drawing>
          <wp:inline distT="0" distB="0" distL="0" distR="0">
            <wp:extent cx="1463761" cy="1518687"/>
            <wp:effectExtent l="19050" t="0" r="308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14" cy="15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B5" w:rsidRPr="00212906" w:rsidRDefault="009172B5" w:rsidP="009172B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>Diagnosis :</w:t>
      </w:r>
      <w:proofErr w:type="gramEnd"/>
    </w:p>
    <w:p w:rsidR="009172B5" w:rsidRPr="00212906" w:rsidRDefault="009172B5" w:rsidP="009172B5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The diagnosis of breech presentation can often be made by obstetrical examination in which the fetal head is palpated in the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fundal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region  and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 softer smaller breech occupies the lower uterine segment above the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symphysis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pelvis . In a frank breech in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labor ,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 fetus buttocks ,anus ,sacrum and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ischial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tuberosities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can be palpated on vaginal examination ,with complete breech the feet ,ankles and often the buttocks are palpable through dilated cervix .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72B5" w:rsidRPr="00212906" w:rsidRDefault="009172B5" w:rsidP="009172B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>Pregnancy management</w:t>
      </w:r>
    </w:p>
    <w:p w:rsidR="00000000" w:rsidRPr="00212906" w:rsidRDefault="00212906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Exclude fetal and uterine anomalies like fetal struc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tural 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anomaly  ,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uterine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myoma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00000" w:rsidRPr="00212906" w:rsidRDefault="00212906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External cephalic version is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aprocedure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in which the obstetrician is manually converts the breech fetus to a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vertex  presentation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via external uterine manipulation under ultrasound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guidnace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.ECV  may be considered in a breech presentation at term before th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e onset of labor .Version is not carried out prior to 36 to 37 weeks gestation because tendency  for the pre mature fetus to revert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spontaniously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to a breech presentation .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72B5" w:rsidRPr="00212906" w:rsidRDefault="009172B5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The procedure must be carried out in a hospital that is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equiped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to perform an emergency caesarean section because the small risk of placental abruption or cord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compression  .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 patient should have nothing by mouth 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for 8 hours prior to the version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a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attempt in case emergency delivery is necessary. Evidence of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utro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placental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insufficiency ,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hypertension ,intra uterine growth restriction ,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oligohydramnia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or previous uterine surgery is contra indication to external cephalic version.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72B5" w:rsidRPr="00212906" w:rsidRDefault="009172B5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Risks of ECV</w:t>
      </w:r>
    </w:p>
    <w:p w:rsidR="009172B5" w:rsidRPr="00212906" w:rsidRDefault="009172B5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1-placental abruption</w:t>
      </w:r>
    </w:p>
    <w:p w:rsidR="009172B5" w:rsidRPr="00212906" w:rsidRDefault="009172B5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2- premature rupture of the membranes</w:t>
      </w:r>
    </w:p>
    <w:p w:rsidR="009172B5" w:rsidRPr="00212906" w:rsidRDefault="009172B5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3-cord accident</w:t>
      </w:r>
    </w:p>
    <w:p w:rsidR="009172B5" w:rsidRPr="00212906" w:rsidRDefault="009172B5" w:rsidP="009172B5">
      <w:pPr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4-transplacental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haemorhage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so you have to give ante Din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Rh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–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ve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patients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5-fetal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bradicardia</w:t>
      </w:r>
      <w:proofErr w:type="spellEnd"/>
    </w:p>
    <w:p w:rsidR="00212906" w:rsidRDefault="00212906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Caesarean section is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better  than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planned vaginal birth ,however  when  a women presents in advanced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labour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and delivery is imminent , there is no choice but to perform a vaginal delivery .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>Prerequisities</w:t>
      </w:r>
      <w:proofErr w:type="spellEnd"/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for vaginal breech delivery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1-The presentation should be either extended (hip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flexed ,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knees extended) or flexed (hips flexed , knees flexed but feet not below the fetal buttocks).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2- There should be no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evidence  of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feto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pelvic disproportion with a pelvis clinically adequate and an estimated fetal weight of less than 3500 g (ultrasound or clinical measurement).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3-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there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should be no evidence of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hyperextention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of the fetal head.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Fetal well being and progress should be carefully monitored</w:t>
      </w:r>
    </w:p>
    <w:p w:rsidR="00212906" w:rsidRDefault="00212906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Technique :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Breech delivery needs the position of masterly inactivity (hands off).Problems are more likely to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arise  when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 obstetrician tries to speed up the process(by pulling on the baby).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Delivery of the buttocks :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In most circumstances , full dilatation and descent of the breech will have occurred naturally once the anterior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butock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is delivered and the anus is seen over the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forchette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an episiotomy 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Delivery of the legs and lower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body  .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If the legs are flexed , they will deliver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spontanously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 . If extended they  may need to be delivered using 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Pinards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manoeuvere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this by using  a finger to flex the  legs at the knee and then extend at the hip , first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anteriorly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then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posteriorly.With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contraction and maternal effort the lower body delivered.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Delivery of the shoulders :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Lovset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s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manover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help to deliver the shoulders</w:t>
      </w:r>
      <w:r w:rsidRPr="00212906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Delivery of the head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The head is delivered </w:t>
      </w:r>
      <w:proofErr w:type="gramStart"/>
      <w:r w:rsidRPr="00212906">
        <w:rPr>
          <w:rFonts w:asciiTheme="majorBidi" w:hAnsiTheme="majorBidi" w:cstheme="majorBidi"/>
          <w:sz w:val="32"/>
          <w:szCs w:val="32"/>
          <w:lang w:bidi="ar-IQ"/>
        </w:rPr>
        <w:t>using  the</w:t>
      </w:r>
      <w:proofErr w:type="gram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Mauriceau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–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Smellie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Veit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manoeuvere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the baby lies on the obstetricians arm with downward traction being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levelled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on the head via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afinger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in the mouth and one each maxilla. Delivery occurs with first downward and then upward movement if this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manoeuvre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proves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difficults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forceps need to be applied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Breech extraction is rarely performed but may be done in 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1- delivery of second twin 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2- cord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prolapse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212906" w:rsidRDefault="00212906" w:rsidP="00212906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212906" w:rsidRPr="00212906" w:rsidRDefault="009172B5" w:rsidP="00212906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12906">
        <w:rPr>
          <w:rFonts w:asciiTheme="majorBidi" w:hAnsiTheme="majorBidi" w:cstheme="majorBidi"/>
          <w:b/>
          <w:bCs/>
          <w:sz w:val="32"/>
          <w:szCs w:val="32"/>
          <w:lang w:bidi="ar-IQ"/>
        </w:rPr>
        <w:t>Complications</w:t>
      </w:r>
    </w:p>
    <w:p w:rsidR="009172B5" w:rsidRPr="00212906" w:rsidRDefault="009172B5" w:rsidP="00212906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1- maternal                    2- fetal a- intracranial </w:t>
      </w:r>
      <w:proofErr w:type="spellStart"/>
      <w:r w:rsidRPr="00212906">
        <w:rPr>
          <w:rFonts w:asciiTheme="majorBidi" w:hAnsiTheme="majorBidi" w:cstheme="majorBidi"/>
          <w:sz w:val="32"/>
          <w:szCs w:val="32"/>
          <w:lang w:bidi="ar-IQ"/>
        </w:rPr>
        <w:t>haemorhage</w:t>
      </w:r>
      <w:proofErr w:type="spellEnd"/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A- trauma to g</w:t>
      </w:r>
      <w:r w:rsidR="00212906">
        <w:rPr>
          <w:rFonts w:asciiTheme="majorBidi" w:hAnsiTheme="majorBidi" w:cstheme="majorBidi"/>
          <w:sz w:val="32"/>
          <w:szCs w:val="32"/>
          <w:lang w:bidi="ar-IQ"/>
        </w:rPr>
        <w:t xml:space="preserve">enital tract                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b-birth asphyxia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B-operative vaginal deliver</w:t>
      </w:r>
      <w:r w:rsidR="00212906">
        <w:rPr>
          <w:rFonts w:asciiTheme="majorBidi" w:hAnsiTheme="majorBidi" w:cstheme="majorBidi"/>
          <w:sz w:val="32"/>
          <w:szCs w:val="32"/>
          <w:lang w:bidi="ar-IQ"/>
        </w:rPr>
        <w:t xml:space="preserve">y          </w:t>
      </w:r>
      <w:r w:rsidRPr="00212906">
        <w:rPr>
          <w:rFonts w:asciiTheme="majorBidi" w:hAnsiTheme="majorBidi" w:cstheme="majorBidi"/>
          <w:sz w:val="32"/>
          <w:szCs w:val="32"/>
          <w:lang w:bidi="ar-IQ"/>
        </w:rPr>
        <w:t xml:space="preserve">  c-birth injuries 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lastRenderedPageBreak/>
        <w:t>C-Caesarean section</w:t>
      </w:r>
    </w:p>
    <w:p w:rsidR="009172B5" w:rsidRPr="00212906" w:rsidRDefault="009172B5" w:rsidP="009172B5">
      <w:pPr>
        <w:pStyle w:val="ListParagraph"/>
        <w:numPr>
          <w:ilvl w:val="0"/>
          <w:numId w:val="2"/>
        </w:num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2906">
        <w:rPr>
          <w:rFonts w:asciiTheme="majorBidi" w:hAnsiTheme="majorBidi" w:cstheme="majorBidi"/>
          <w:sz w:val="32"/>
          <w:szCs w:val="32"/>
          <w:lang w:bidi="ar-IQ"/>
        </w:rPr>
        <w:t>D-sepsis</w:t>
      </w:r>
    </w:p>
    <w:p w:rsidR="009172B5" w:rsidRPr="009172B5" w:rsidRDefault="009172B5" w:rsidP="009172B5">
      <w:pPr>
        <w:pStyle w:val="ListParagraph"/>
        <w:numPr>
          <w:ilvl w:val="0"/>
          <w:numId w:val="2"/>
        </w:numPr>
        <w:jc w:val="right"/>
        <w:rPr>
          <w:rFonts w:hint="cs"/>
          <w:rtl/>
          <w:lang w:bidi="ar-IQ"/>
        </w:rPr>
      </w:pPr>
    </w:p>
    <w:sectPr w:rsidR="009172B5" w:rsidRPr="00917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687"/>
    <w:multiLevelType w:val="hybridMultilevel"/>
    <w:tmpl w:val="CD3C0418"/>
    <w:lvl w:ilvl="0" w:tplc="4AFE693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2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05C3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841B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852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4905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80C7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4134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A2B8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42257F"/>
    <w:multiLevelType w:val="hybridMultilevel"/>
    <w:tmpl w:val="F5067E76"/>
    <w:lvl w:ilvl="0" w:tplc="1876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6A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A8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47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47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6F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84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C9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A7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9172B5"/>
    <w:rsid w:val="00212906"/>
    <w:rsid w:val="0091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101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8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2016-12-28T20:54:00Z</dcterms:created>
  <dcterms:modified xsi:type="dcterms:W3CDTF">2016-12-28T21:11:00Z</dcterms:modified>
</cp:coreProperties>
</file>