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ABD41" w14:textId="77777777" w:rsidR="00700D1D" w:rsidRDefault="00700D1D" w:rsidP="00700D1D">
      <w:pPr>
        <w:bidi/>
        <w:jc w:val="right"/>
        <w:rPr>
          <w:rFonts w:ascii="Apple Chancery" w:hAnsi="Apple Chancery" w:cs="Times New Roman"/>
          <w:b/>
          <w:bCs/>
          <w:sz w:val="20"/>
          <w:szCs w:val="20"/>
          <w:lang w:val="en-US"/>
        </w:rPr>
      </w:pPr>
      <w:r>
        <w:rPr>
          <w:rFonts w:ascii="Apple Chancery" w:hAnsi="Apple Chancery" w:cs="Times New Roman"/>
          <w:b/>
          <w:bCs/>
          <w:noProof/>
          <w:sz w:val="20"/>
          <w:szCs w:val="20"/>
          <w:lang w:val="en-US"/>
        </w:rPr>
        <mc:AlternateContent>
          <mc:Choice Requires="wpi">
            <w:drawing>
              <wp:anchor distT="0" distB="0" distL="114300" distR="114300" simplePos="0" relativeHeight="251659264" behindDoc="0" locked="0" layoutInCell="1" allowOverlap="1" wp14:anchorId="0DC1153A" wp14:editId="43580CE4">
                <wp:simplePos x="0" y="0"/>
                <wp:positionH relativeFrom="column">
                  <wp:posOffset>-3531291</wp:posOffset>
                </wp:positionH>
                <wp:positionV relativeFrom="paragraph">
                  <wp:posOffset>-754060</wp:posOffset>
                </wp:positionV>
                <wp:extent cx="360" cy="360"/>
                <wp:effectExtent l="38100" t="38100" r="38100" b="38100"/>
                <wp:wrapNone/>
                <wp:docPr id="11" name="Ink 11"/>
                <wp:cNvGraphicFramePr/>
                <a:graphic xmlns:a="http://schemas.openxmlformats.org/drawingml/2006/main">
                  <a:graphicData uri="http://schemas.microsoft.com/office/word/2010/wordprocessingInk">
                    <w14:contentPart bwMode="auto" r:id="rId4">
                      <w14:nvContentPartPr>
                        <w14:cNvContentPartPr/>
                      </w14:nvContentPartPr>
                      <w14:xfrm>
                        <a:off x="0" y="0"/>
                        <a:ext cx="360" cy="360"/>
                      </w14:xfrm>
                    </w14:contentPart>
                  </a:graphicData>
                </a:graphic>
              </wp:anchor>
            </w:drawing>
          </mc:Choice>
          <mc:Fallback>
            <w:pict>
              <v:shapetype w14:anchorId="023BF7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78.75pt;margin-top:-60.0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">
                <v:imagedata r:id="rId5" o:title=""/>
              </v:shape>
            </w:pict>
          </mc:Fallback>
        </mc:AlternateContent>
      </w:r>
      <w:proofErr w:type="spellStart"/>
      <w:r>
        <w:rPr>
          <w:rFonts w:ascii="Apple Chancery" w:hAnsi="Apple Chancery" w:cs="Times New Roman"/>
          <w:b/>
          <w:bCs/>
          <w:sz w:val="20"/>
          <w:szCs w:val="20"/>
          <w:lang w:val="en-US"/>
        </w:rPr>
        <w:t>ALMustansiriyah</w:t>
      </w:r>
      <w:proofErr w:type="spellEnd"/>
      <w:r>
        <w:rPr>
          <w:rFonts w:ascii="Apple Chancery" w:hAnsi="Apple Chancery" w:cs="Times New Roman"/>
          <w:b/>
          <w:bCs/>
          <w:sz w:val="20"/>
          <w:szCs w:val="20"/>
          <w:lang w:val="en-US"/>
        </w:rPr>
        <w:t xml:space="preserve"> University/College of Medicine </w:t>
      </w:r>
    </w:p>
    <w:p w14:paraId="1EEB4BEB" w14:textId="77777777" w:rsidR="00700D1D" w:rsidRDefault="00700D1D" w:rsidP="00700D1D">
      <w:pPr>
        <w:bidi/>
        <w:jc w:val="right"/>
        <w:rPr>
          <w:rFonts w:ascii="Apple Chancery" w:hAnsi="Apple Chancery" w:cs="Times New Roman"/>
          <w:b/>
          <w:bCs/>
          <w:sz w:val="20"/>
          <w:szCs w:val="20"/>
          <w:lang w:val="en-US"/>
        </w:rPr>
      </w:pPr>
      <w:r>
        <w:rPr>
          <w:rFonts w:ascii="Apple Chancery" w:hAnsi="Apple Chancery" w:cs="Times New Roman"/>
          <w:b/>
          <w:bCs/>
          <w:sz w:val="20"/>
          <w:szCs w:val="20"/>
          <w:lang w:val="en-US"/>
        </w:rPr>
        <w:t>4</w:t>
      </w:r>
      <w:r w:rsidRPr="00B154F4">
        <w:rPr>
          <w:rFonts w:ascii="Apple Chancery" w:hAnsi="Apple Chancery" w:cs="Times New Roman"/>
          <w:b/>
          <w:bCs/>
          <w:sz w:val="20"/>
          <w:szCs w:val="20"/>
          <w:vertAlign w:val="superscript"/>
          <w:lang w:val="en-US"/>
        </w:rPr>
        <w:t>th</w:t>
      </w:r>
      <w:r>
        <w:rPr>
          <w:rFonts w:ascii="Apple Chancery" w:hAnsi="Apple Chancery" w:cs="Times New Roman"/>
          <w:b/>
          <w:bCs/>
          <w:sz w:val="20"/>
          <w:szCs w:val="20"/>
          <w:lang w:val="en-US"/>
        </w:rPr>
        <w:t xml:space="preserve"> stage</w:t>
      </w:r>
    </w:p>
    <w:p w14:paraId="43CC4007" w14:textId="77777777" w:rsidR="00700D1D" w:rsidRPr="00485CA5" w:rsidRDefault="00700D1D" w:rsidP="00700D1D">
      <w:pPr>
        <w:bidi/>
        <w:jc w:val="right"/>
        <w:rPr>
          <w:rFonts w:ascii="Apple Chancery" w:hAnsi="Apple Chancery" w:cs="Times New Roman"/>
          <w:b/>
          <w:bCs/>
          <w:sz w:val="20"/>
          <w:szCs w:val="20"/>
          <w:rtl/>
          <w:lang w:val="en-US"/>
        </w:rPr>
      </w:pPr>
      <w:proofErr w:type="spellStart"/>
      <w:proofErr w:type="gramStart"/>
      <w:r>
        <w:rPr>
          <w:rFonts w:ascii="Apple Chancery" w:hAnsi="Apple Chancery" w:cs="Times New Roman"/>
          <w:b/>
          <w:bCs/>
          <w:sz w:val="20"/>
          <w:szCs w:val="20"/>
          <w:lang w:val="en-US"/>
        </w:rPr>
        <w:t>Dr.Nabeeha</w:t>
      </w:r>
      <w:proofErr w:type="spellEnd"/>
      <w:proofErr w:type="gramEnd"/>
      <w:r>
        <w:rPr>
          <w:rFonts w:ascii="Apple Chancery" w:hAnsi="Apple Chancery" w:cs="Times New Roman"/>
          <w:b/>
          <w:bCs/>
          <w:sz w:val="20"/>
          <w:szCs w:val="20"/>
          <w:lang w:val="en-US"/>
        </w:rPr>
        <w:t xml:space="preserve"> N. Akram</w:t>
      </w:r>
    </w:p>
    <w:p w14:paraId="47E21F16" w14:textId="77777777" w:rsidR="00BD60D0" w:rsidRDefault="00BD60D0" w:rsidP="00700D1D">
      <w:pPr>
        <w:rPr>
          <w:rFonts w:ascii="Times New Roman" w:hAnsi="Times New Roman" w:cs="Times New Roman"/>
          <w:b/>
          <w:bCs/>
          <w:sz w:val="28"/>
          <w:szCs w:val="28"/>
        </w:rPr>
      </w:pPr>
    </w:p>
    <w:p w14:paraId="7572C2A2" w14:textId="6733C38E" w:rsidR="005D0FC7" w:rsidRPr="00BD60D0" w:rsidRDefault="005D0FC7" w:rsidP="00BD60D0">
      <w:pPr>
        <w:jc w:val="center"/>
        <w:rPr>
          <w:rFonts w:ascii="Times New Roman" w:hAnsi="Times New Roman" w:cs="Times New Roman"/>
          <w:b/>
          <w:bCs/>
          <w:sz w:val="28"/>
          <w:szCs w:val="28"/>
        </w:rPr>
      </w:pPr>
      <w:r w:rsidRPr="00BD60D0">
        <w:rPr>
          <w:rFonts w:ascii="Times New Roman" w:hAnsi="Times New Roman" w:cs="Times New Roman"/>
          <w:b/>
          <w:bCs/>
          <w:sz w:val="28"/>
          <w:szCs w:val="28"/>
        </w:rPr>
        <w:t>MALNUTRITION</w:t>
      </w:r>
    </w:p>
    <w:p w14:paraId="716215D9" w14:textId="77777777" w:rsidR="00BD60D0" w:rsidRDefault="00BD60D0">
      <w:pPr>
        <w:rPr>
          <w:rFonts w:ascii="Times New Roman" w:hAnsi="Times New Roman" w:cs="Times New Roman"/>
          <w:sz w:val="28"/>
          <w:szCs w:val="28"/>
        </w:rPr>
      </w:pPr>
    </w:p>
    <w:p w14:paraId="559427B4" w14:textId="77777777" w:rsidR="00BD60D0" w:rsidRDefault="00BD60D0">
      <w:pPr>
        <w:rPr>
          <w:rFonts w:ascii="Times New Roman" w:hAnsi="Times New Roman" w:cs="Times New Roman"/>
          <w:sz w:val="28"/>
          <w:szCs w:val="28"/>
        </w:rPr>
      </w:pPr>
    </w:p>
    <w:p w14:paraId="4CC612AD" w14:textId="7D778AC0" w:rsidR="005D0FC7" w:rsidRPr="00BD60D0" w:rsidRDefault="005D0FC7">
      <w:pPr>
        <w:rPr>
          <w:rFonts w:ascii="Times New Roman" w:hAnsi="Times New Roman" w:cs="Times New Roman"/>
          <w:sz w:val="28"/>
          <w:szCs w:val="28"/>
        </w:rPr>
      </w:pPr>
      <w:r w:rsidRPr="00BD60D0">
        <w:rPr>
          <w:rFonts w:ascii="Times New Roman" w:hAnsi="Times New Roman" w:cs="Times New Roman"/>
          <w:sz w:val="28"/>
          <w:szCs w:val="28"/>
        </w:rPr>
        <w:t>A pathological state due to a relative or absolute deficiency or excess of one or more essential nutrients; clinically manifested or detected only by biochemical, anthropometric or physiological tests.</w:t>
      </w:r>
    </w:p>
    <w:p w14:paraId="4774AA06" w14:textId="61AB8A1C" w:rsidR="005D0FC7" w:rsidRPr="00BD60D0" w:rsidRDefault="005D0FC7">
      <w:pPr>
        <w:rPr>
          <w:rFonts w:ascii="Times New Roman" w:hAnsi="Times New Roman" w:cs="Times New Roman"/>
          <w:sz w:val="28"/>
          <w:szCs w:val="28"/>
        </w:rPr>
      </w:pPr>
    </w:p>
    <w:p w14:paraId="0CDE3D86" w14:textId="6C293987" w:rsidR="005D0FC7" w:rsidRPr="00BD60D0" w:rsidRDefault="005D0FC7">
      <w:pPr>
        <w:rPr>
          <w:rFonts w:ascii="Times New Roman" w:hAnsi="Times New Roman" w:cs="Times New Roman"/>
          <w:b/>
          <w:bCs/>
          <w:sz w:val="28"/>
          <w:szCs w:val="28"/>
        </w:rPr>
      </w:pPr>
      <w:r w:rsidRPr="00BD60D0">
        <w:rPr>
          <w:rFonts w:ascii="Times New Roman" w:hAnsi="Times New Roman" w:cs="Times New Roman"/>
          <w:b/>
          <w:bCs/>
          <w:sz w:val="28"/>
          <w:szCs w:val="28"/>
        </w:rPr>
        <w:t>Classification:</w:t>
      </w:r>
    </w:p>
    <w:p w14:paraId="7F131EE2"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1.Undernutrition: Marasmus</w:t>
      </w:r>
    </w:p>
    <w:p w14:paraId="1B94C595"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2. Over-nutrition: Obesity ,Hypervitaminoses</w:t>
      </w:r>
    </w:p>
    <w:p w14:paraId="356C93CF"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3.Specific Deficiency: Kwashiorkor ,Hypovitaminoses. </w:t>
      </w:r>
    </w:p>
    <w:p w14:paraId="216F4C42"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4.Mineral Deficiencies</w:t>
      </w:r>
    </w:p>
    <w:p w14:paraId="0490DB6B" w14:textId="713241A6"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5.Imbalance: Electrolyte Imbalance</w:t>
      </w:r>
    </w:p>
    <w:p w14:paraId="300D6AA0" w14:textId="0DC05691" w:rsidR="005D0FC7" w:rsidRPr="00BD60D0" w:rsidRDefault="005D0FC7" w:rsidP="005D0FC7">
      <w:pPr>
        <w:rPr>
          <w:rFonts w:ascii="Times New Roman" w:hAnsi="Times New Roman" w:cs="Times New Roman"/>
          <w:sz w:val="28"/>
          <w:szCs w:val="28"/>
        </w:rPr>
      </w:pPr>
    </w:p>
    <w:p w14:paraId="26C5B55F" w14:textId="3FA105ED" w:rsidR="005D0FC7" w:rsidRPr="00BD60D0" w:rsidRDefault="005D0FC7" w:rsidP="005D0FC7">
      <w:pPr>
        <w:rPr>
          <w:rFonts w:ascii="Times New Roman" w:hAnsi="Times New Roman" w:cs="Times New Roman"/>
          <w:b/>
          <w:bCs/>
          <w:sz w:val="28"/>
          <w:szCs w:val="28"/>
        </w:rPr>
      </w:pPr>
      <w:r w:rsidRPr="00BD60D0">
        <w:rPr>
          <w:rFonts w:ascii="Times New Roman" w:hAnsi="Times New Roman" w:cs="Times New Roman"/>
          <w:b/>
          <w:bCs/>
          <w:sz w:val="28"/>
          <w:szCs w:val="28"/>
        </w:rPr>
        <w:t>Etiology:</w:t>
      </w:r>
    </w:p>
    <w:p w14:paraId="75665210"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A.child related:</w:t>
      </w:r>
    </w:p>
    <w:p w14:paraId="323283A7" w14:textId="4361F770"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Low birth wt</w:t>
      </w:r>
      <w:r w:rsidRPr="00BD60D0">
        <w:rPr>
          <w:rFonts w:ascii="Times New Roman" w:hAnsi="Times New Roman" w:cs="Times New Roman"/>
          <w:sz w:val="28"/>
          <w:szCs w:val="28"/>
          <w:lang w:val="en-US"/>
        </w:rPr>
        <w:t>,</w:t>
      </w:r>
      <w:r w:rsidRPr="00BD60D0">
        <w:rPr>
          <w:rFonts w:ascii="Times New Roman" w:hAnsi="Times New Roman" w:cs="Times New Roman"/>
          <w:sz w:val="28"/>
          <w:szCs w:val="28"/>
        </w:rPr>
        <w:t xml:space="preserve">Absence or early cessation of  breast feeding </w:t>
      </w:r>
    </w:p>
    <w:p w14:paraId="56F164D9"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Delay weaning</w:t>
      </w:r>
    </w:p>
    <w:p w14:paraId="05B6C81B"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Incorrect dietary habit</w:t>
      </w:r>
    </w:p>
    <w:p w14:paraId="50275D2B"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Recurrent infection :diarrhea, measles</w:t>
      </w:r>
    </w:p>
    <w:p w14:paraId="112E1EA7"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B.Maternal factor:</w:t>
      </w:r>
    </w:p>
    <w:p w14:paraId="315AB2F4"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Maternal malnutrition</w:t>
      </w:r>
    </w:p>
    <w:p w14:paraId="7F8FFCA6"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Ignorance about feeding</w:t>
      </w:r>
    </w:p>
    <w:p w14:paraId="51DC6D7B"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separation</w:t>
      </w:r>
    </w:p>
    <w:p w14:paraId="1060E738" w14:textId="77777777" w:rsidR="005D0FC7" w:rsidRPr="00BD60D0" w:rsidRDefault="005D0FC7" w:rsidP="005D0FC7">
      <w:pPr>
        <w:rPr>
          <w:rFonts w:ascii="Times New Roman" w:hAnsi="Times New Roman" w:cs="Times New Roman"/>
          <w:sz w:val="28"/>
          <w:szCs w:val="28"/>
        </w:rPr>
      </w:pPr>
    </w:p>
    <w:p w14:paraId="36380335"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C. socio-economical factor:</w:t>
      </w:r>
    </w:p>
    <w:p w14:paraId="1DDFD210"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Poverty and unemployment</w:t>
      </w:r>
    </w:p>
    <w:p w14:paraId="2E8A6011"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Large family size</w:t>
      </w:r>
    </w:p>
    <w:p w14:paraId="0D94451E"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Unhygienic living condition</w:t>
      </w:r>
    </w:p>
    <w:p w14:paraId="0C2C5AAE"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Disadvantaged children   </w:t>
      </w:r>
    </w:p>
    <w:p w14:paraId="1C9F8354"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D. cultural factor: wrong believes</w:t>
      </w:r>
    </w:p>
    <w:p w14:paraId="2E7DF73F"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E. community factor:</w:t>
      </w:r>
    </w:p>
    <w:p w14:paraId="3182FB89"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Natural/man made disaster</w:t>
      </w:r>
    </w:p>
    <w:p w14:paraId="08F893D6"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Generalized economic  depression</w:t>
      </w:r>
    </w:p>
    <w:p w14:paraId="1F6D1E9B" w14:textId="721AA215"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     Inadequate primary health care</w:t>
      </w:r>
    </w:p>
    <w:p w14:paraId="02C8F68B" w14:textId="72A6F029" w:rsidR="005D0FC7" w:rsidRPr="00BD60D0" w:rsidRDefault="005D0FC7" w:rsidP="005D0FC7">
      <w:pPr>
        <w:rPr>
          <w:rFonts w:ascii="Times New Roman" w:hAnsi="Times New Roman" w:cs="Times New Roman"/>
          <w:sz w:val="28"/>
          <w:szCs w:val="28"/>
        </w:rPr>
      </w:pPr>
    </w:p>
    <w:p w14:paraId="0958418C" w14:textId="19D74A97" w:rsidR="005D0FC7" w:rsidRPr="00BD60D0" w:rsidRDefault="005D0FC7" w:rsidP="005D0FC7">
      <w:pPr>
        <w:rPr>
          <w:rFonts w:ascii="Times New Roman" w:hAnsi="Times New Roman" w:cs="Times New Roman"/>
          <w:sz w:val="28"/>
          <w:szCs w:val="28"/>
        </w:rPr>
      </w:pPr>
    </w:p>
    <w:p w14:paraId="6061C843" w14:textId="77777777" w:rsidR="00BD60D0" w:rsidRDefault="00BD60D0" w:rsidP="005D0FC7">
      <w:pPr>
        <w:rPr>
          <w:rFonts w:ascii="Times New Roman" w:hAnsi="Times New Roman" w:cs="Times New Roman"/>
          <w:b/>
          <w:bCs/>
          <w:sz w:val="28"/>
          <w:szCs w:val="28"/>
        </w:rPr>
      </w:pPr>
    </w:p>
    <w:p w14:paraId="799189B1" w14:textId="77777777" w:rsidR="00BD60D0" w:rsidRDefault="00BD60D0" w:rsidP="005D0FC7">
      <w:pPr>
        <w:rPr>
          <w:rFonts w:ascii="Times New Roman" w:hAnsi="Times New Roman" w:cs="Times New Roman"/>
          <w:b/>
          <w:bCs/>
          <w:sz w:val="28"/>
          <w:szCs w:val="28"/>
        </w:rPr>
      </w:pPr>
    </w:p>
    <w:p w14:paraId="73553534" w14:textId="5EA84CA7" w:rsidR="005D0FC7" w:rsidRPr="00BD60D0" w:rsidRDefault="005D0FC7" w:rsidP="005D0FC7">
      <w:pPr>
        <w:rPr>
          <w:rFonts w:ascii="Times New Roman" w:hAnsi="Times New Roman" w:cs="Times New Roman"/>
          <w:b/>
          <w:bCs/>
          <w:sz w:val="28"/>
          <w:szCs w:val="28"/>
        </w:rPr>
      </w:pPr>
      <w:r w:rsidRPr="00BD60D0">
        <w:rPr>
          <w:rFonts w:ascii="Times New Roman" w:hAnsi="Times New Roman" w:cs="Times New Roman"/>
          <w:b/>
          <w:bCs/>
          <w:sz w:val="28"/>
          <w:szCs w:val="28"/>
        </w:rPr>
        <w:lastRenderedPageBreak/>
        <w:t>Marasmus</w:t>
      </w:r>
    </w:p>
    <w:p w14:paraId="7088B724" w14:textId="6F623B7C" w:rsidR="00BD60D0" w:rsidRPr="00BD60D0" w:rsidRDefault="00BD60D0" w:rsidP="005D0FC7">
      <w:pPr>
        <w:rPr>
          <w:rFonts w:ascii="Times New Roman" w:hAnsi="Times New Roman" w:cs="Times New Roman"/>
          <w:b/>
          <w:bCs/>
          <w:sz w:val="28"/>
          <w:szCs w:val="28"/>
        </w:rPr>
      </w:pPr>
    </w:p>
    <w:p w14:paraId="7D6270E8" w14:textId="4492613A" w:rsidR="00BD60D0" w:rsidRPr="00BD60D0" w:rsidRDefault="00BD60D0" w:rsidP="005D0FC7">
      <w:pPr>
        <w:rPr>
          <w:rFonts w:ascii="Times New Roman" w:hAnsi="Times New Roman" w:cs="Times New Roman"/>
          <w:b/>
          <w:bCs/>
          <w:sz w:val="28"/>
          <w:szCs w:val="28"/>
        </w:rPr>
      </w:pPr>
    </w:p>
    <w:p w14:paraId="7F3A124C" w14:textId="0C561CED"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Marasmus results from the body's physiologic response to inadequate calories and nutrients. Loss of muscle mass and subcutaneous fat stores can be confirmed by inspection or palpation and quantified by anthropometric measurements.</w:t>
      </w:r>
    </w:p>
    <w:p w14:paraId="678C25FC" w14:textId="77777777" w:rsidR="005D0FC7" w:rsidRPr="00BD60D0" w:rsidRDefault="005D0FC7" w:rsidP="005D0FC7">
      <w:pPr>
        <w:rPr>
          <w:rFonts w:ascii="Times New Roman" w:hAnsi="Times New Roman" w:cs="Times New Roman"/>
          <w:sz w:val="28"/>
          <w:szCs w:val="28"/>
        </w:rPr>
      </w:pPr>
    </w:p>
    <w:p w14:paraId="069A1E46" w14:textId="77777777" w:rsidR="005D0FC7" w:rsidRPr="00BD60D0" w:rsidRDefault="005D0FC7" w:rsidP="005D0FC7">
      <w:pPr>
        <w:rPr>
          <w:rFonts w:ascii="Times New Roman" w:hAnsi="Times New Roman" w:cs="Times New Roman"/>
          <w:sz w:val="28"/>
          <w:szCs w:val="28"/>
        </w:rPr>
      </w:pPr>
    </w:p>
    <w:p w14:paraId="61882238"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The head may appear large but generally is proportional to the body length. </w:t>
      </w:r>
    </w:p>
    <w:p w14:paraId="3E95A06D"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Edema usually is absent. The skin is dry and thin, and the hair may be thin, sparse, and easily pulled out. </w:t>
      </w:r>
    </w:p>
    <w:p w14:paraId="0D384686" w14:textId="77777777" w:rsidR="005D0FC7" w:rsidRPr="00BD60D0" w:rsidRDefault="005D0FC7" w:rsidP="005D0FC7">
      <w:pPr>
        <w:rPr>
          <w:rFonts w:ascii="Times New Roman" w:hAnsi="Times New Roman" w:cs="Times New Roman"/>
          <w:sz w:val="28"/>
          <w:szCs w:val="28"/>
        </w:rPr>
      </w:pPr>
    </w:p>
    <w:p w14:paraId="42F63CC0"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 xml:space="preserve">Marasmic children may be apathetic and weak and may be irritable when touched. Bradycardia and hypothermia signify severe and life- threatening malnutrition. </w:t>
      </w:r>
    </w:p>
    <w:p w14:paraId="7B8562D2" w14:textId="77777777" w:rsidR="005D0FC7" w:rsidRPr="00BD60D0" w:rsidRDefault="005D0FC7" w:rsidP="005D0FC7">
      <w:pPr>
        <w:rPr>
          <w:rFonts w:ascii="Times New Roman" w:hAnsi="Times New Roman" w:cs="Times New Roman"/>
          <w:sz w:val="28"/>
          <w:szCs w:val="28"/>
        </w:rPr>
      </w:pPr>
    </w:p>
    <w:p w14:paraId="472D00A9"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Inappropriate or inadequate weaning practices and chronic diarrhea are common findings in developing countries.</w:t>
      </w:r>
    </w:p>
    <w:p w14:paraId="5EA07841" w14:textId="3B6D85B2"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Stunting (impaired linear growth) results from a combination of malnutrition, especially micronutrients, and recurrent infections.</w:t>
      </w:r>
    </w:p>
    <w:p w14:paraId="73AEE1B1" w14:textId="17152FF3" w:rsidR="005D0FC7" w:rsidRPr="00BD60D0" w:rsidRDefault="005D0FC7" w:rsidP="005D0FC7">
      <w:pPr>
        <w:rPr>
          <w:rFonts w:ascii="Times New Roman" w:hAnsi="Times New Roman" w:cs="Times New Roman"/>
          <w:sz w:val="28"/>
          <w:szCs w:val="28"/>
        </w:rPr>
      </w:pPr>
    </w:p>
    <w:p w14:paraId="5AE98309" w14:textId="77777777" w:rsidR="00BD60D0" w:rsidRDefault="00BD60D0" w:rsidP="00BD60D0">
      <w:pPr>
        <w:rPr>
          <w:rFonts w:ascii="Times New Roman" w:hAnsi="Times New Roman" w:cs="Times New Roman"/>
          <w:b/>
          <w:bCs/>
          <w:sz w:val="28"/>
          <w:szCs w:val="28"/>
        </w:rPr>
      </w:pPr>
    </w:p>
    <w:p w14:paraId="13161517" w14:textId="77777777" w:rsidR="00BD60D0" w:rsidRDefault="00BD60D0" w:rsidP="00BD60D0">
      <w:pPr>
        <w:rPr>
          <w:rFonts w:ascii="Times New Roman" w:hAnsi="Times New Roman" w:cs="Times New Roman"/>
          <w:b/>
          <w:bCs/>
          <w:sz w:val="28"/>
          <w:szCs w:val="28"/>
        </w:rPr>
      </w:pPr>
    </w:p>
    <w:p w14:paraId="4D312A97" w14:textId="77777777" w:rsidR="00BD60D0" w:rsidRDefault="00BD60D0" w:rsidP="00BD60D0">
      <w:pPr>
        <w:rPr>
          <w:rFonts w:ascii="Times New Roman" w:hAnsi="Times New Roman" w:cs="Times New Roman"/>
          <w:b/>
          <w:bCs/>
          <w:sz w:val="28"/>
          <w:szCs w:val="28"/>
        </w:rPr>
      </w:pPr>
    </w:p>
    <w:p w14:paraId="78E828A7" w14:textId="77777777" w:rsidR="00BD60D0" w:rsidRDefault="00BD60D0" w:rsidP="00BD60D0">
      <w:pPr>
        <w:rPr>
          <w:rFonts w:ascii="Times New Roman" w:hAnsi="Times New Roman" w:cs="Times New Roman"/>
          <w:b/>
          <w:bCs/>
          <w:sz w:val="28"/>
          <w:szCs w:val="28"/>
        </w:rPr>
      </w:pPr>
    </w:p>
    <w:p w14:paraId="2C140587" w14:textId="77777777" w:rsidR="00BD60D0" w:rsidRDefault="00BD60D0" w:rsidP="00BD60D0">
      <w:pPr>
        <w:rPr>
          <w:rFonts w:ascii="Times New Roman" w:hAnsi="Times New Roman" w:cs="Times New Roman"/>
          <w:b/>
          <w:bCs/>
          <w:sz w:val="28"/>
          <w:szCs w:val="28"/>
        </w:rPr>
      </w:pPr>
    </w:p>
    <w:p w14:paraId="4871CD15" w14:textId="77777777" w:rsidR="00700D1D" w:rsidRDefault="00700D1D" w:rsidP="00BD60D0">
      <w:pPr>
        <w:rPr>
          <w:rFonts w:ascii="Times New Roman" w:hAnsi="Times New Roman" w:cs="Times New Roman"/>
          <w:b/>
          <w:bCs/>
          <w:sz w:val="28"/>
          <w:szCs w:val="28"/>
        </w:rPr>
      </w:pPr>
    </w:p>
    <w:p w14:paraId="267E9C28" w14:textId="77777777" w:rsidR="00700D1D" w:rsidRDefault="00700D1D" w:rsidP="00BD60D0">
      <w:pPr>
        <w:rPr>
          <w:rFonts w:ascii="Times New Roman" w:hAnsi="Times New Roman" w:cs="Times New Roman"/>
          <w:b/>
          <w:bCs/>
          <w:sz w:val="28"/>
          <w:szCs w:val="28"/>
        </w:rPr>
      </w:pPr>
    </w:p>
    <w:p w14:paraId="74BE9382" w14:textId="50D56B34" w:rsidR="00BD60D0" w:rsidRPr="00BD60D0" w:rsidRDefault="005D0FC7" w:rsidP="00BD60D0">
      <w:pPr>
        <w:rPr>
          <w:rFonts w:ascii="Times New Roman" w:hAnsi="Times New Roman" w:cs="Times New Roman"/>
          <w:b/>
          <w:bCs/>
          <w:sz w:val="28"/>
          <w:szCs w:val="28"/>
        </w:rPr>
      </w:pPr>
      <w:r w:rsidRPr="00BD60D0">
        <w:rPr>
          <w:rFonts w:ascii="Times New Roman" w:hAnsi="Times New Roman" w:cs="Times New Roman"/>
          <w:b/>
          <w:bCs/>
          <w:sz w:val="28"/>
          <w:szCs w:val="28"/>
        </w:rPr>
        <w:t>Kwashiorkor</w:t>
      </w:r>
    </w:p>
    <w:p w14:paraId="5185456F" w14:textId="2425EF49" w:rsidR="00BD60D0" w:rsidRPr="00BD60D0" w:rsidRDefault="00BD60D0" w:rsidP="00BD60D0">
      <w:pPr>
        <w:bidi/>
        <w:rPr>
          <w:rFonts w:ascii="Times New Roman" w:hAnsi="Times New Roman" w:cs="Times New Roman"/>
          <w:sz w:val="28"/>
          <w:szCs w:val="28"/>
        </w:rPr>
      </w:pPr>
    </w:p>
    <w:p w14:paraId="465BEDA9" w14:textId="77777777" w:rsidR="00BD60D0" w:rsidRDefault="00BD60D0" w:rsidP="005D0FC7">
      <w:pPr>
        <w:rPr>
          <w:rFonts w:ascii="Times New Roman" w:hAnsi="Times New Roman" w:cs="Times New Roman"/>
          <w:sz w:val="28"/>
          <w:szCs w:val="28"/>
        </w:rPr>
      </w:pPr>
    </w:p>
    <w:p w14:paraId="39A1212B" w14:textId="7D6C7F48"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Kwashiorkor results from inadequate protein intake in the presence of fair to good caloric intake. The hypoalbuminemic state results in pitting edema that starts in the lower extremities and ascends with increasing severity. Other factors, such as acute infection, toxins, and possibly specific micronutrient or amino acid imbalances, are likely to contribute to the etiology.</w:t>
      </w:r>
    </w:p>
    <w:p w14:paraId="0F848D7C" w14:textId="6B3484D1" w:rsidR="005D0FC7" w:rsidRPr="00BD60D0" w:rsidRDefault="005D0FC7" w:rsidP="005D0FC7">
      <w:pPr>
        <w:rPr>
          <w:rFonts w:ascii="Times New Roman" w:hAnsi="Times New Roman" w:cs="Times New Roman"/>
          <w:sz w:val="28"/>
          <w:szCs w:val="28"/>
        </w:rPr>
      </w:pPr>
    </w:p>
    <w:p w14:paraId="58D83DA9" w14:textId="0261D295"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The disease of displaced </w:t>
      </w:r>
      <w:proofErr w:type="gramStart"/>
      <w:r w:rsidRPr="00BD60D0">
        <w:rPr>
          <w:rFonts w:ascii="Times New Roman" w:hAnsi="Times New Roman" w:cs="Times New Roman"/>
          <w:sz w:val="28"/>
          <w:szCs w:val="28"/>
          <w:lang w:val="en-US"/>
        </w:rPr>
        <w:t xml:space="preserve">child </w:t>
      </w:r>
      <w:r w:rsidR="00BD60D0">
        <w:rPr>
          <w:rFonts w:ascii="Times New Roman" w:hAnsi="Times New Roman" w:cs="Times New Roman"/>
          <w:sz w:val="28"/>
          <w:szCs w:val="28"/>
          <w:lang w:val="en-US"/>
        </w:rPr>
        <w:t>,</w:t>
      </w:r>
      <w:r w:rsidRPr="00BD60D0">
        <w:rPr>
          <w:rFonts w:ascii="Times New Roman" w:hAnsi="Times New Roman" w:cs="Times New Roman"/>
          <w:sz w:val="28"/>
          <w:szCs w:val="28"/>
          <w:lang w:val="en-US"/>
        </w:rPr>
        <w:t>as</w:t>
      </w:r>
      <w:proofErr w:type="gramEnd"/>
      <w:r w:rsidRPr="00BD60D0">
        <w:rPr>
          <w:rFonts w:ascii="Times New Roman" w:hAnsi="Times New Roman" w:cs="Times New Roman"/>
          <w:sz w:val="28"/>
          <w:szCs w:val="28"/>
          <w:lang w:val="en-US"/>
        </w:rPr>
        <w:t xml:space="preserve"> commonly seen after weaning due to delivery of new child to starchy food (sugar baby??)</w:t>
      </w:r>
    </w:p>
    <w:p w14:paraId="49D4B1E0" w14:textId="7FB8CA1E" w:rsidR="005D0FC7" w:rsidRPr="00BD60D0" w:rsidRDefault="005D0FC7" w:rsidP="005D0FC7">
      <w:pPr>
        <w:rPr>
          <w:rFonts w:ascii="Times New Roman" w:hAnsi="Times New Roman" w:cs="Times New Roman"/>
          <w:sz w:val="28"/>
          <w:szCs w:val="28"/>
          <w:lang w:val="en-US"/>
        </w:rPr>
      </w:pPr>
    </w:p>
    <w:p w14:paraId="25661E18" w14:textId="77777777"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lastRenderedPageBreak/>
        <w:t xml:space="preserve">The major clinical manifestation of kwashiorkor is that the body weight is near normal for age; weight alone does not accurately reflect the nutritional status because of edema. </w:t>
      </w:r>
    </w:p>
    <w:p w14:paraId="599D4AFF" w14:textId="77777777" w:rsidR="005D0FC7" w:rsidRPr="00BD60D0" w:rsidRDefault="005D0FC7" w:rsidP="005D0FC7">
      <w:pPr>
        <w:rPr>
          <w:rFonts w:ascii="Times New Roman" w:hAnsi="Times New Roman" w:cs="Times New Roman"/>
          <w:sz w:val="28"/>
          <w:szCs w:val="28"/>
        </w:rPr>
      </w:pPr>
    </w:p>
    <w:p w14:paraId="6F2EE8BE" w14:textId="42A8C9F1" w:rsidR="005D0FC7" w:rsidRPr="00BD60D0" w:rsidRDefault="005D0FC7" w:rsidP="005D0FC7">
      <w:pPr>
        <w:rPr>
          <w:rFonts w:ascii="Times New Roman" w:hAnsi="Times New Roman" w:cs="Times New Roman"/>
          <w:sz w:val="28"/>
          <w:szCs w:val="28"/>
        </w:rPr>
      </w:pPr>
      <w:r w:rsidRPr="00BD60D0">
        <w:rPr>
          <w:rFonts w:ascii="Times New Roman" w:hAnsi="Times New Roman" w:cs="Times New Roman"/>
          <w:sz w:val="28"/>
          <w:szCs w:val="28"/>
        </w:rPr>
        <w:t>Physical examination reveals a relative maintenance of subcutaneous adipose tissue and a marked atrophy of muscle mass. Edema varies from a minor pitting of the dorsum of the foot to generalized edema with involvement of the eyelids and scrotum. The hair is sparse, easily plucked, and appears dull brown, red, or yellow-white. Nutritional repletion restores hair color, leaving a band of hair with altered pigmentation followed by a band with normal pigmentation (flag sign).</w:t>
      </w:r>
    </w:p>
    <w:p w14:paraId="4AD6F365" w14:textId="36E08839" w:rsidR="005D0FC7" w:rsidRPr="00BD60D0" w:rsidRDefault="005D0FC7" w:rsidP="005D0FC7">
      <w:pPr>
        <w:rPr>
          <w:rFonts w:ascii="Times New Roman" w:hAnsi="Times New Roman" w:cs="Times New Roman"/>
          <w:sz w:val="28"/>
          <w:szCs w:val="28"/>
          <w:lang w:val="en-US"/>
        </w:rPr>
      </w:pPr>
      <w:r w:rsidRPr="005D0FC7">
        <w:rPr>
          <w:rFonts w:ascii="Times New Roman" w:hAnsi="Times New Roman" w:cs="Times New Roman"/>
          <w:sz w:val="28"/>
          <w:szCs w:val="28"/>
          <w:lang w:val="en-US"/>
        </w:rPr>
        <w:t xml:space="preserve">Skin changes are common and range from hyperpigmented hyperkeratosis to an erythematous macular rash (pellagroid) on the trunk and extremities. In the most severe form of kwashiorkor, a superficial desquamation occurs over pressure surfaces (“flaky paint” rash). </w:t>
      </w:r>
    </w:p>
    <w:p w14:paraId="34BA4B08" w14:textId="77777777" w:rsidR="005D0FC7" w:rsidRPr="005D0FC7" w:rsidRDefault="005D0FC7" w:rsidP="005D0FC7">
      <w:pPr>
        <w:rPr>
          <w:rFonts w:ascii="Times New Roman" w:hAnsi="Times New Roman" w:cs="Times New Roman"/>
          <w:sz w:val="28"/>
          <w:szCs w:val="28"/>
          <w:lang w:val="en-US"/>
        </w:rPr>
      </w:pPr>
    </w:p>
    <w:p w14:paraId="6057F9B1" w14:textId="69DD4FCA" w:rsidR="005D0FC7" w:rsidRPr="00BD60D0" w:rsidRDefault="005D0FC7" w:rsidP="00F60636">
      <w:pPr>
        <w:bidi/>
        <w:jc w:val="center"/>
        <w:rPr>
          <w:rFonts w:ascii="Times New Roman" w:hAnsi="Times New Roman" w:cs="Times New Roman"/>
          <w:sz w:val="28"/>
          <w:szCs w:val="28"/>
          <w:lang w:val="en-US"/>
        </w:rPr>
      </w:pPr>
      <w:r w:rsidRPr="00BD60D0">
        <w:rPr>
          <w:rFonts w:ascii="Times New Roman" w:hAnsi="Times New Roman" w:cs="Times New Roman"/>
          <w:noProof/>
          <w:sz w:val="28"/>
          <w:szCs w:val="28"/>
          <w:lang w:val="en-US"/>
        </w:rPr>
        <w:drawing>
          <wp:inline distT="0" distB="0" distL="0" distR="0" wp14:anchorId="5AD47609" wp14:editId="6A549C15">
            <wp:extent cx="2136710" cy="15561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3549" cy="1575649"/>
                    </a:xfrm>
                    <a:prstGeom prst="rect">
                      <a:avLst/>
                    </a:prstGeom>
                  </pic:spPr>
                </pic:pic>
              </a:graphicData>
            </a:graphic>
          </wp:inline>
        </w:drawing>
      </w:r>
    </w:p>
    <w:p w14:paraId="6A4AE913" w14:textId="233F75C7" w:rsidR="005D0FC7" w:rsidRPr="00BD60D0" w:rsidRDefault="005D0FC7" w:rsidP="005D0FC7">
      <w:pPr>
        <w:rPr>
          <w:rFonts w:ascii="Times New Roman" w:hAnsi="Times New Roman" w:cs="Times New Roman"/>
          <w:sz w:val="28"/>
          <w:szCs w:val="28"/>
          <w:lang w:val="en-US"/>
        </w:rPr>
      </w:pPr>
    </w:p>
    <w:p w14:paraId="04CF463C"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Angular cheilosis, atrophy of the filiform papillae of the tongue, and monilial stomatitis are common. </w:t>
      </w:r>
    </w:p>
    <w:p w14:paraId="1EC61FA6"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Enlarged parotid glands and facial edema result in moon facies; </w:t>
      </w:r>
    </w:p>
    <w:p w14:paraId="31B8F175"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apathy and disinterest in eating are typical of kwashiorkor. </w:t>
      </w:r>
    </w:p>
    <w:p w14:paraId="1F13DA4A" w14:textId="77777777" w:rsidR="005D0FC7" w:rsidRPr="00BD60D0" w:rsidRDefault="005D0FC7" w:rsidP="005D0FC7">
      <w:pPr>
        <w:rPr>
          <w:rFonts w:ascii="Times New Roman" w:hAnsi="Times New Roman" w:cs="Times New Roman"/>
          <w:sz w:val="28"/>
          <w:szCs w:val="28"/>
          <w:lang w:val="en-US"/>
        </w:rPr>
      </w:pPr>
    </w:p>
    <w:p w14:paraId="57AA18FB"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Examination of the abdomen may reveal an enlarged, soft liver with an indefinite edge. Lymph node and tonsils are commonly atrophic. </w:t>
      </w:r>
    </w:p>
    <w:p w14:paraId="338D35B1" w14:textId="77777777" w:rsidR="005D0FC7" w:rsidRPr="00BD60D0" w:rsidRDefault="005D0FC7" w:rsidP="005D0FC7">
      <w:pPr>
        <w:rPr>
          <w:rFonts w:ascii="Times New Roman" w:hAnsi="Times New Roman" w:cs="Times New Roman"/>
          <w:sz w:val="28"/>
          <w:szCs w:val="28"/>
          <w:lang w:val="en-US"/>
        </w:rPr>
      </w:pPr>
    </w:p>
    <w:p w14:paraId="4B519F57"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Chest examination may reveal basilar rales.</w:t>
      </w:r>
    </w:p>
    <w:p w14:paraId="155AB6DB" w14:textId="77777777" w:rsidR="005D0FC7" w:rsidRPr="00BD60D0" w:rsidRDefault="005D0FC7" w:rsidP="005D0FC7">
      <w:pPr>
        <w:rPr>
          <w:rFonts w:ascii="Times New Roman" w:hAnsi="Times New Roman" w:cs="Times New Roman"/>
          <w:sz w:val="28"/>
          <w:szCs w:val="28"/>
          <w:lang w:val="en-US"/>
        </w:rPr>
      </w:pPr>
    </w:p>
    <w:p w14:paraId="5496263D" w14:textId="462DFC70"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The abdomen is distended, and bowel sounds tend to be hypoactive.</w:t>
      </w:r>
    </w:p>
    <w:p w14:paraId="7FF3DE58" w14:textId="77777777" w:rsidR="005D0FC7" w:rsidRPr="00BD60D0" w:rsidRDefault="005D0FC7" w:rsidP="005D0FC7">
      <w:pPr>
        <w:jc w:val="center"/>
        <w:rPr>
          <w:rFonts w:ascii="Times New Roman" w:hAnsi="Times New Roman" w:cs="Times New Roman"/>
          <w:sz w:val="28"/>
          <w:szCs w:val="28"/>
          <w:lang w:val="en-US"/>
        </w:rPr>
      </w:pPr>
    </w:p>
    <w:p w14:paraId="7725099D" w14:textId="77777777" w:rsidR="005D0FC7" w:rsidRPr="00BD60D0" w:rsidRDefault="005D0FC7" w:rsidP="005D0FC7">
      <w:pPr>
        <w:jc w:val="center"/>
        <w:rPr>
          <w:rFonts w:ascii="Times New Roman" w:hAnsi="Times New Roman" w:cs="Times New Roman"/>
          <w:sz w:val="28"/>
          <w:szCs w:val="28"/>
          <w:lang w:val="en-US"/>
        </w:rPr>
      </w:pPr>
    </w:p>
    <w:p w14:paraId="7A2D1F39" w14:textId="77777777" w:rsidR="005D0FC7" w:rsidRPr="00BD60D0" w:rsidRDefault="005D0FC7" w:rsidP="005D0FC7">
      <w:pPr>
        <w:jc w:val="center"/>
        <w:rPr>
          <w:rFonts w:ascii="Times New Roman" w:hAnsi="Times New Roman" w:cs="Times New Roman"/>
          <w:sz w:val="28"/>
          <w:szCs w:val="28"/>
          <w:lang w:val="en-US"/>
        </w:rPr>
      </w:pPr>
    </w:p>
    <w:p w14:paraId="010BE9C6" w14:textId="77777777" w:rsidR="005D0FC7" w:rsidRPr="00BD60D0" w:rsidRDefault="005D0FC7" w:rsidP="005D0FC7">
      <w:pPr>
        <w:jc w:val="center"/>
        <w:rPr>
          <w:rFonts w:ascii="Times New Roman" w:hAnsi="Times New Roman" w:cs="Times New Roman"/>
          <w:sz w:val="28"/>
          <w:szCs w:val="28"/>
          <w:lang w:val="en-US"/>
        </w:rPr>
      </w:pPr>
    </w:p>
    <w:p w14:paraId="3938ED1A" w14:textId="77777777" w:rsidR="005D0FC7" w:rsidRPr="00BD60D0" w:rsidRDefault="005D0FC7" w:rsidP="005D0FC7">
      <w:pPr>
        <w:jc w:val="center"/>
        <w:rPr>
          <w:rFonts w:ascii="Times New Roman" w:hAnsi="Times New Roman" w:cs="Times New Roman"/>
          <w:sz w:val="28"/>
          <w:szCs w:val="28"/>
          <w:lang w:val="en-US"/>
        </w:rPr>
      </w:pPr>
    </w:p>
    <w:p w14:paraId="2487FB22" w14:textId="77777777" w:rsidR="00323C10" w:rsidRDefault="00323C10" w:rsidP="005D0FC7">
      <w:pPr>
        <w:jc w:val="center"/>
        <w:rPr>
          <w:rFonts w:ascii="Times New Roman" w:hAnsi="Times New Roman" w:cs="Times New Roman"/>
          <w:b/>
          <w:bCs/>
          <w:sz w:val="28"/>
          <w:szCs w:val="28"/>
          <w:lang w:val="en-US"/>
        </w:rPr>
      </w:pPr>
    </w:p>
    <w:p w14:paraId="7119D7AC" w14:textId="77777777" w:rsidR="00323C10" w:rsidRDefault="00323C10" w:rsidP="005D0FC7">
      <w:pPr>
        <w:jc w:val="center"/>
        <w:rPr>
          <w:rFonts w:ascii="Times New Roman" w:hAnsi="Times New Roman" w:cs="Times New Roman"/>
          <w:b/>
          <w:bCs/>
          <w:sz w:val="28"/>
          <w:szCs w:val="28"/>
          <w:lang w:val="en-US"/>
        </w:rPr>
      </w:pPr>
    </w:p>
    <w:p w14:paraId="7F7B7E96" w14:textId="77777777" w:rsidR="00323C10" w:rsidRDefault="00323C10" w:rsidP="005D0FC7">
      <w:pPr>
        <w:jc w:val="center"/>
        <w:rPr>
          <w:rFonts w:ascii="Times New Roman" w:hAnsi="Times New Roman" w:cs="Times New Roman"/>
          <w:b/>
          <w:bCs/>
          <w:sz w:val="28"/>
          <w:szCs w:val="28"/>
          <w:lang w:val="en-US"/>
        </w:rPr>
      </w:pPr>
    </w:p>
    <w:p w14:paraId="546EA9D3" w14:textId="0773C5E4" w:rsidR="005D0FC7" w:rsidRPr="005D0FC7" w:rsidRDefault="005D0FC7" w:rsidP="005D0FC7">
      <w:pPr>
        <w:jc w:val="center"/>
        <w:rPr>
          <w:rFonts w:ascii="Times New Roman" w:hAnsi="Times New Roman" w:cs="Times New Roman"/>
          <w:b/>
          <w:bCs/>
          <w:sz w:val="28"/>
          <w:szCs w:val="28"/>
          <w:lang w:val="en-US"/>
        </w:rPr>
      </w:pPr>
      <w:r w:rsidRPr="005D0FC7">
        <w:rPr>
          <w:rFonts w:ascii="Times New Roman" w:hAnsi="Times New Roman" w:cs="Times New Roman"/>
          <w:b/>
          <w:bCs/>
          <w:sz w:val="28"/>
          <w:szCs w:val="28"/>
          <w:lang w:val="en-US"/>
        </w:rPr>
        <w:t>SEVERE CHILDHOOD UNDERNUTRITION</w:t>
      </w:r>
    </w:p>
    <w:p w14:paraId="3475EE81" w14:textId="2C5624B3" w:rsidR="005D0FC7" w:rsidRPr="005D0FC7" w:rsidRDefault="005D0FC7" w:rsidP="005D0FC7">
      <w:pPr>
        <w:jc w:val="center"/>
        <w:rPr>
          <w:rFonts w:ascii="Times New Roman" w:hAnsi="Times New Roman" w:cs="Times New Roman"/>
          <w:b/>
          <w:bCs/>
          <w:sz w:val="28"/>
          <w:szCs w:val="28"/>
          <w:lang w:val="en-US"/>
        </w:rPr>
      </w:pPr>
      <w:r w:rsidRPr="005D0FC7">
        <w:rPr>
          <w:rFonts w:ascii="Times New Roman" w:hAnsi="Times New Roman" w:cs="Times New Roman"/>
          <w:b/>
          <w:bCs/>
          <w:sz w:val="28"/>
          <w:szCs w:val="28"/>
          <w:lang w:val="en-US"/>
        </w:rPr>
        <w:t>(Protein-Energy Malnutrition)</w:t>
      </w:r>
    </w:p>
    <w:p w14:paraId="6D3A283B" w14:textId="7FCAA8E3" w:rsidR="005D0FC7" w:rsidRPr="00BD60D0" w:rsidRDefault="005D0FC7" w:rsidP="005D0FC7">
      <w:pPr>
        <w:rPr>
          <w:rFonts w:ascii="Times New Roman" w:hAnsi="Times New Roman" w:cs="Times New Roman"/>
          <w:sz w:val="28"/>
          <w:szCs w:val="28"/>
          <w:lang w:val="en-US"/>
        </w:rPr>
      </w:pPr>
    </w:p>
    <w:p w14:paraId="1CBDFFB5" w14:textId="40078451" w:rsidR="005D0FC7" w:rsidRPr="00BD60D0" w:rsidRDefault="005D0FC7" w:rsidP="005D0FC7">
      <w:pPr>
        <w:rPr>
          <w:rFonts w:ascii="Times New Roman" w:hAnsi="Times New Roman" w:cs="Times New Roman"/>
          <w:sz w:val="28"/>
          <w:szCs w:val="28"/>
          <w:lang w:val="en-US"/>
        </w:rPr>
      </w:pPr>
    </w:p>
    <w:p w14:paraId="7B6BEECA" w14:textId="5A8FC3FC"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noProof/>
          <w:sz w:val="28"/>
          <w:szCs w:val="28"/>
          <w:lang w:val="en-US"/>
        </w:rPr>
        <w:drawing>
          <wp:inline distT="0" distB="0" distL="0" distR="0" wp14:anchorId="24CE9445" wp14:editId="23F3C9C1">
            <wp:extent cx="5727700" cy="27120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2712085"/>
                    </a:xfrm>
                    <a:prstGeom prst="rect">
                      <a:avLst/>
                    </a:prstGeom>
                  </pic:spPr>
                </pic:pic>
              </a:graphicData>
            </a:graphic>
          </wp:inline>
        </w:drawing>
      </w:r>
    </w:p>
    <w:p w14:paraId="585E7057" w14:textId="6637BABE" w:rsidR="005D0FC7" w:rsidRPr="00BD60D0" w:rsidRDefault="005D0FC7" w:rsidP="005D0FC7">
      <w:pPr>
        <w:rPr>
          <w:rFonts w:ascii="Times New Roman" w:hAnsi="Times New Roman" w:cs="Times New Roman"/>
          <w:sz w:val="28"/>
          <w:szCs w:val="28"/>
          <w:lang w:val="en-US"/>
        </w:rPr>
      </w:pPr>
    </w:p>
    <w:p w14:paraId="03040B74" w14:textId="4D38215B" w:rsidR="005D0FC7" w:rsidRPr="00BD60D0" w:rsidRDefault="005D0FC7" w:rsidP="005D0FC7">
      <w:pPr>
        <w:rPr>
          <w:rFonts w:ascii="Times New Roman" w:hAnsi="Times New Roman" w:cs="Times New Roman"/>
          <w:sz w:val="28"/>
          <w:szCs w:val="28"/>
          <w:lang w:val="en-US"/>
        </w:rPr>
      </w:pPr>
    </w:p>
    <w:p w14:paraId="7D646D15" w14:textId="10B9CB59" w:rsidR="005D0FC7" w:rsidRPr="00BD60D0" w:rsidRDefault="005D0FC7" w:rsidP="005D0FC7">
      <w:pPr>
        <w:rPr>
          <w:rFonts w:ascii="Times New Roman" w:hAnsi="Times New Roman" w:cs="Times New Roman"/>
          <w:sz w:val="28"/>
          <w:szCs w:val="28"/>
          <w:lang w:val="en-US"/>
        </w:rPr>
      </w:pPr>
    </w:p>
    <w:p w14:paraId="42BACD9A" w14:textId="136E7699" w:rsidR="005D0FC7" w:rsidRPr="00BD60D0" w:rsidRDefault="005D0FC7" w:rsidP="005D0FC7">
      <w:pPr>
        <w:rPr>
          <w:rFonts w:ascii="Times New Roman" w:hAnsi="Times New Roman" w:cs="Times New Roman"/>
          <w:sz w:val="28"/>
          <w:szCs w:val="28"/>
          <w:lang w:val="en-US"/>
        </w:rPr>
      </w:pPr>
    </w:p>
    <w:p w14:paraId="0FC88368" w14:textId="1A65EC9F" w:rsidR="005D0FC7" w:rsidRPr="00BD60D0" w:rsidRDefault="005D0FC7" w:rsidP="005D0FC7">
      <w:pPr>
        <w:rPr>
          <w:rFonts w:ascii="Times New Roman" w:hAnsi="Times New Roman" w:cs="Times New Roman"/>
          <w:b/>
          <w:bCs/>
          <w:sz w:val="28"/>
          <w:szCs w:val="28"/>
          <w:lang w:val="en-US"/>
        </w:rPr>
      </w:pPr>
    </w:p>
    <w:p w14:paraId="5333604F" w14:textId="13C35AED" w:rsidR="005D0FC7" w:rsidRPr="00BD60D0" w:rsidRDefault="005D0FC7" w:rsidP="005D0FC7">
      <w:pPr>
        <w:rPr>
          <w:rFonts w:ascii="Times New Roman" w:hAnsi="Times New Roman" w:cs="Times New Roman"/>
          <w:b/>
          <w:bCs/>
          <w:sz w:val="28"/>
          <w:szCs w:val="28"/>
          <w:lang w:val="en-US"/>
        </w:rPr>
      </w:pPr>
      <w:r w:rsidRPr="00BD60D0">
        <w:rPr>
          <w:rFonts w:ascii="Times New Roman" w:hAnsi="Times New Roman" w:cs="Times New Roman"/>
          <w:b/>
          <w:bCs/>
          <w:sz w:val="28"/>
          <w:szCs w:val="28"/>
          <w:lang w:val="en-US"/>
        </w:rPr>
        <w:t>Assessment of nutritional status</w:t>
      </w:r>
    </w:p>
    <w:p w14:paraId="3FBF727B"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Malnutrition must be </w:t>
      </w:r>
      <w:proofErr w:type="spellStart"/>
      <w:r w:rsidRPr="00BD60D0">
        <w:rPr>
          <w:rFonts w:ascii="Times New Roman" w:hAnsi="Times New Roman" w:cs="Times New Roman"/>
          <w:sz w:val="28"/>
          <w:szCs w:val="28"/>
          <w:lang w:val="en-US"/>
        </w:rPr>
        <w:t>recognised</w:t>
      </w:r>
      <w:proofErr w:type="spellEnd"/>
      <w:r w:rsidRPr="00BD60D0">
        <w:rPr>
          <w:rFonts w:ascii="Times New Roman" w:hAnsi="Times New Roman" w:cs="Times New Roman"/>
          <w:sz w:val="28"/>
          <w:szCs w:val="28"/>
          <w:lang w:val="en-US"/>
        </w:rPr>
        <w:t xml:space="preserve"> and accurately defined for rational decisions to be made about refeed­ing. </w:t>
      </w:r>
    </w:p>
    <w:p w14:paraId="2E97BB11"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Evaluation is divided into assessment of past and present dietary intake, anthropometry and laboratory </w:t>
      </w:r>
      <w:proofErr w:type="gramStart"/>
      <w:r w:rsidRPr="00BD60D0">
        <w:rPr>
          <w:rFonts w:ascii="Times New Roman" w:hAnsi="Times New Roman" w:cs="Times New Roman"/>
          <w:sz w:val="28"/>
          <w:szCs w:val="28"/>
          <w:lang w:val="en-US"/>
        </w:rPr>
        <w:t>assessments .</w:t>
      </w:r>
      <w:proofErr w:type="gramEnd"/>
    </w:p>
    <w:p w14:paraId="0DF0419D"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Dietary assessment </w:t>
      </w:r>
    </w:p>
    <w:p w14:paraId="5511CD9F"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Parents are asked to record the food the child eats during several days. This gives a guide to food intake. </w:t>
      </w:r>
    </w:p>
    <w:p w14:paraId="270A1F56"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Anthropometry </w:t>
      </w:r>
    </w:p>
    <w:p w14:paraId="4A60E029"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In addition to weight and height, skinfold thickness of the triceps reflects subcutaneous fat stores and can be assessed by measuring it. (as shown in fig A)</w:t>
      </w:r>
    </w:p>
    <w:p w14:paraId="01846E66"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While it is difficult to measure skinfold thickness accurately in young children, mid­ upper arm circumference, which is related to skeletal muscle mass, can be measured easily and repeatedly and is independent of age in children 6 months to 6 </w:t>
      </w:r>
      <w:proofErr w:type="spellStart"/>
      <w:proofErr w:type="gramStart"/>
      <w:r w:rsidRPr="00BD60D0">
        <w:rPr>
          <w:rFonts w:ascii="Times New Roman" w:hAnsi="Times New Roman" w:cs="Times New Roman"/>
          <w:sz w:val="28"/>
          <w:szCs w:val="28"/>
          <w:lang w:val="en-US"/>
        </w:rPr>
        <w:t>years.It</w:t>
      </w:r>
      <w:proofErr w:type="spellEnd"/>
      <w:proofErr w:type="gramEnd"/>
      <w:r w:rsidRPr="00BD60D0">
        <w:rPr>
          <w:rFonts w:ascii="Times New Roman" w:hAnsi="Times New Roman" w:cs="Times New Roman"/>
          <w:sz w:val="28"/>
          <w:szCs w:val="28"/>
          <w:lang w:val="en-US"/>
        </w:rPr>
        <w:t xml:space="preserve"> is especially useful for screening children for malnutrition in the community. (Fig </w:t>
      </w:r>
      <w:proofErr w:type="gramStart"/>
      <w:r w:rsidRPr="00BD60D0">
        <w:rPr>
          <w:rFonts w:ascii="Times New Roman" w:hAnsi="Times New Roman" w:cs="Times New Roman"/>
          <w:sz w:val="28"/>
          <w:szCs w:val="28"/>
          <w:lang w:val="en-US"/>
        </w:rPr>
        <w:t>B,C</w:t>
      </w:r>
      <w:proofErr w:type="gramEnd"/>
      <w:r w:rsidRPr="00BD60D0">
        <w:rPr>
          <w:rFonts w:ascii="Times New Roman" w:hAnsi="Times New Roman" w:cs="Times New Roman"/>
          <w:sz w:val="28"/>
          <w:szCs w:val="28"/>
          <w:lang w:val="en-US"/>
        </w:rPr>
        <w:t>)</w:t>
      </w:r>
    </w:p>
    <w:p w14:paraId="508BE8F0"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Laboratory investigations </w:t>
      </w:r>
    </w:p>
    <w:p w14:paraId="22742DA3"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These are useful in the detection of early physiologi­cal adaptation to malnutrition, but clinical history, </w:t>
      </w:r>
    </w:p>
    <w:p w14:paraId="4883FF01" w14:textId="600AEA84"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lastRenderedPageBreak/>
        <w:t>examination and anthropometry are of greater value than any single biochemical or immunological measurement.</w:t>
      </w:r>
    </w:p>
    <w:p w14:paraId="1DD3A1C6" w14:textId="5AF1D7E9" w:rsidR="005D0FC7" w:rsidRPr="00BD60D0" w:rsidRDefault="005D0FC7" w:rsidP="005D0FC7">
      <w:pPr>
        <w:rPr>
          <w:rFonts w:ascii="Times New Roman" w:hAnsi="Times New Roman" w:cs="Times New Roman"/>
          <w:sz w:val="28"/>
          <w:szCs w:val="28"/>
          <w:lang w:val="en-US"/>
        </w:rPr>
      </w:pPr>
    </w:p>
    <w:p w14:paraId="0AF4DB37" w14:textId="6E8A9116" w:rsidR="005D0FC7" w:rsidRPr="00BD60D0" w:rsidRDefault="005D0FC7" w:rsidP="005D0FC7">
      <w:pPr>
        <w:rPr>
          <w:rFonts w:ascii="Times New Roman" w:hAnsi="Times New Roman" w:cs="Times New Roman"/>
          <w:sz w:val="28"/>
          <w:szCs w:val="28"/>
          <w:lang w:val="en-US"/>
        </w:rPr>
      </w:pPr>
    </w:p>
    <w:p w14:paraId="54ECFD77" w14:textId="35E869F5"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noProof/>
          <w:sz w:val="28"/>
          <w:szCs w:val="28"/>
          <w:lang w:val="en-US"/>
        </w:rPr>
        <w:drawing>
          <wp:inline distT="0" distB="0" distL="0" distR="0" wp14:anchorId="5AC67C18" wp14:editId="47E00D15">
            <wp:extent cx="2392341" cy="2127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6622" cy="2148972"/>
                    </a:xfrm>
                    <a:prstGeom prst="rect">
                      <a:avLst/>
                    </a:prstGeom>
                  </pic:spPr>
                </pic:pic>
              </a:graphicData>
            </a:graphic>
          </wp:inline>
        </w:drawing>
      </w:r>
      <w:r w:rsidRPr="00BD60D0">
        <w:rPr>
          <w:rFonts w:ascii="Times New Roman" w:hAnsi="Times New Roman" w:cs="Times New Roman"/>
          <w:noProof/>
          <w:sz w:val="28"/>
          <w:szCs w:val="28"/>
          <w:lang w:val="en-US"/>
        </w:rPr>
        <w:drawing>
          <wp:inline distT="0" distB="0" distL="0" distR="0" wp14:anchorId="3035B193" wp14:editId="5CFF9EF2">
            <wp:extent cx="2897435" cy="167196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9464" cy="1690451"/>
                    </a:xfrm>
                    <a:prstGeom prst="rect">
                      <a:avLst/>
                    </a:prstGeom>
                  </pic:spPr>
                </pic:pic>
              </a:graphicData>
            </a:graphic>
          </wp:inline>
        </w:drawing>
      </w:r>
    </w:p>
    <w:p w14:paraId="2188E562" w14:textId="7FC637F3" w:rsidR="005D0FC7" w:rsidRPr="00BD60D0" w:rsidRDefault="005D0FC7" w:rsidP="005D0FC7">
      <w:pPr>
        <w:rPr>
          <w:rFonts w:ascii="Times New Roman" w:hAnsi="Times New Roman" w:cs="Times New Roman"/>
          <w:sz w:val="28"/>
          <w:szCs w:val="28"/>
          <w:lang w:val="en-US"/>
        </w:rPr>
      </w:pPr>
    </w:p>
    <w:p w14:paraId="725D70DE" w14:textId="05F77703" w:rsidR="005D0FC7" w:rsidRPr="00BD60D0" w:rsidRDefault="005D0FC7" w:rsidP="005D0FC7">
      <w:pPr>
        <w:rPr>
          <w:rFonts w:ascii="Times New Roman" w:hAnsi="Times New Roman" w:cs="Times New Roman"/>
          <w:sz w:val="28"/>
          <w:szCs w:val="28"/>
          <w:lang w:val="en-US"/>
        </w:rPr>
      </w:pPr>
    </w:p>
    <w:p w14:paraId="0C7DCFBE" w14:textId="0A6B965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Investigations</w:t>
      </w:r>
    </w:p>
    <w:p w14:paraId="14415585" w14:textId="30A1428C" w:rsidR="005D0FC7" w:rsidRPr="00BD60D0" w:rsidRDefault="005D0FC7" w:rsidP="005D0FC7">
      <w:pPr>
        <w:rPr>
          <w:rFonts w:ascii="Times New Roman" w:hAnsi="Times New Roman" w:cs="Times New Roman"/>
          <w:sz w:val="28"/>
          <w:szCs w:val="28"/>
          <w:lang w:val="en-US"/>
        </w:rPr>
      </w:pPr>
      <w:proofErr w:type="gramStart"/>
      <w:r w:rsidRPr="00BD60D0">
        <w:rPr>
          <w:rFonts w:ascii="Times New Roman" w:hAnsi="Times New Roman" w:cs="Times New Roman"/>
          <w:sz w:val="28"/>
          <w:szCs w:val="28"/>
          <w:lang w:val="en-US"/>
        </w:rPr>
        <w:t>CBC,CRP</w:t>
      </w:r>
      <w:proofErr w:type="gramEnd"/>
      <w:r w:rsidRPr="00BD60D0">
        <w:rPr>
          <w:rFonts w:ascii="Times New Roman" w:hAnsi="Times New Roman" w:cs="Times New Roman"/>
          <w:sz w:val="28"/>
          <w:szCs w:val="28"/>
          <w:lang w:val="en-US"/>
        </w:rPr>
        <w:t>,GUE,GSE,RBS,RFT,TSP,S. albumin(low in both)</w:t>
      </w:r>
    </w:p>
    <w:p w14:paraId="0ED7B5DE" w14:textId="0468C677" w:rsidR="005D0FC7" w:rsidRPr="00BD60D0" w:rsidRDefault="005D0FC7" w:rsidP="005D0FC7">
      <w:pPr>
        <w:rPr>
          <w:rFonts w:ascii="Times New Roman" w:hAnsi="Times New Roman" w:cs="Times New Roman"/>
          <w:sz w:val="28"/>
          <w:szCs w:val="28"/>
          <w:lang w:val="en-US"/>
        </w:rPr>
      </w:pPr>
    </w:p>
    <w:p w14:paraId="6709B95E" w14:textId="77777777" w:rsidR="005D0FC7" w:rsidRPr="00BD60D0" w:rsidRDefault="005D0FC7" w:rsidP="005D0FC7">
      <w:pPr>
        <w:rPr>
          <w:rFonts w:ascii="Times New Roman" w:hAnsi="Times New Roman" w:cs="Times New Roman"/>
          <w:b/>
          <w:bCs/>
          <w:sz w:val="28"/>
          <w:szCs w:val="28"/>
          <w:lang w:val="en-US"/>
        </w:rPr>
      </w:pPr>
    </w:p>
    <w:p w14:paraId="0FE9015C" w14:textId="77777777" w:rsidR="005D0FC7" w:rsidRPr="00BD60D0" w:rsidRDefault="005D0FC7" w:rsidP="005D0FC7">
      <w:pPr>
        <w:rPr>
          <w:rFonts w:ascii="Times New Roman" w:hAnsi="Times New Roman" w:cs="Times New Roman"/>
          <w:b/>
          <w:bCs/>
          <w:sz w:val="28"/>
          <w:szCs w:val="28"/>
          <w:lang w:val="en-US"/>
        </w:rPr>
      </w:pPr>
    </w:p>
    <w:p w14:paraId="42927B47" w14:textId="7B192D3A" w:rsidR="005D0FC7" w:rsidRPr="00BD60D0" w:rsidRDefault="005D0FC7" w:rsidP="005D0FC7">
      <w:pPr>
        <w:rPr>
          <w:rFonts w:ascii="Times New Roman" w:hAnsi="Times New Roman" w:cs="Times New Roman"/>
          <w:b/>
          <w:bCs/>
          <w:sz w:val="28"/>
          <w:szCs w:val="28"/>
          <w:lang w:val="en-US"/>
        </w:rPr>
      </w:pPr>
      <w:r w:rsidRPr="00BD60D0">
        <w:rPr>
          <w:rFonts w:ascii="Times New Roman" w:hAnsi="Times New Roman" w:cs="Times New Roman"/>
          <w:b/>
          <w:bCs/>
          <w:sz w:val="28"/>
          <w:szCs w:val="28"/>
          <w:lang w:val="en-US"/>
        </w:rPr>
        <w:t>Treatment</w:t>
      </w:r>
    </w:p>
    <w:p w14:paraId="7284B7DC" w14:textId="688E7957" w:rsidR="005D0FC7" w:rsidRPr="00BD60D0" w:rsidRDefault="005D0FC7" w:rsidP="005D0FC7">
      <w:pPr>
        <w:rPr>
          <w:rFonts w:ascii="Times New Roman" w:hAnsi="Times New Roman" w:cs="Times New Roman"/>
          <w:sz w:val="28"/>
          <w:szCs w:val="28"/>
          <w:lang w:val="en-US"/>
        </w:rPr>
      </w:pPr>
    </w:p>
    <w:p w14:paraId="5F67EFD4"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Rx. of PEM involve 3 phases:</w:t>
      </w:r>
    </w:p>
    <w:p w14:paraId="31687082"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1-Stabilization phase (1st </w:t>
      </w:r>
      <w:proofErr w:type="spellStart"/>
      <w:r w:rsidRPr="00BD60D0">
        <w:rPr>
          <w:rFonts w:ascii="Times New Roman" w:hAnsi="Times New Roman" w:cs="Times New Roman"/>
          <w:sz w:val="28"/>
          <w:szCs w:val="28"/>
          <w:lang w:val="en-US"/>
        </w:rPr>
        <w:t>wk</w:t>
      </w:r>
      <w:proofErr w:type="spellEnd"/>
      <w:r w:rsidRPr="00BD60D0">
        <w:rPr>
          <w:rFonts w:ascii="Times New Roman" w:hAnsi="Times New Roman" w:cs="Times New Roman"/>
          <w:sz w:val="28"/>
          <w:szCs w:val="28"/>
          <w:lang w:val="en-US"/>
        </w:rPr>
        <w:t>)</w:t>
      </w:r>
    </w:p>
    <w:p w14:paraId="0EB0F290"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2-Rehabilitation phase (2nd wk-6th </w:t>
      </w:r>
      <w:proofErr w:type="spellStart"/>
      <w:r w:rsidRPr="00BD60D0">
        <w:rPr>
          <w:rFonts w:ascii="Times New Roman" w:hAnsi="Times New Roman" w:cs="Times New Roman"/>
          <w:sz w:val="28"/>
          <w:szCs w:val="28"/>
          <w:lang w:val="en-US"/>
        </w:rPr>
        <w:t>wk</w:t>
      </w:r>
      <w:proofErr w:type="spellEnd"/>
      <w:r w:rsidRPr="00BD60D0">
        <w:rPr>
          <w:rFonts w:ascii="Times New Roman" w:hAnsi="Times New Roman" w:cs="Times New Roman"/>
          <w:sz w:val="28"/>
          <w:szCs w:val="28"/>
          <w:lang w:val="en-US"/>
        </w:rPr>
        <w:t xml:space="preserve">) </w:t>
      </w:r>
    </w:p>
    <w:p w14:paraId="3CD1F9B7" w14:textId="464DE93A"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3-follow-up. (7th </w:t>
      </w:r>
      <w:proofErr w:type="spellStart"/>
      <w:r w:rsidRPr="00BD60D0">
        <w:rPr>
          <w:rFonts w:ascii="Times New Roman" w:hAnsi="Times New Roman" w:cs="Times New Roman"/>
          <w:sz w:val="28"/>
          <w:szCs w:val="28"/>
          <w:lang w:val="en-US"/>
        </w:rPr>
        <w:t>wk</w:t>
      </w:r>
      <w:proofErr w:type="spellEnd"/>
      <w:r w:rsidRPr="00BD60D0">
        <w:rPr>
          <w:rFonts w:ascii="Times New Roman" w:hAnsi="Times New Roman" w:cs="Times New Roman"/>
          <w:sz w:val="28"/>
          <w:szCs w:val="28"/>
          <w:lang w:val="en-US"/>
        </w:rPr>
        <w:t xml:space="preserve"> till recovery)</w:t>
      </w:r>
    </w:p>
    <w:p w14:paraId="35F93ADA" w14:textId="35537C70" w:rsidR="005D0FC7" w:rsidRPr="00BD60D0" w:rsidRDefault="005D0FC7" w:rsidP="005D0FC7">
      <w:pPr>
        <w:rPr>
          <w:rFonts w:ascii="Times New Roman" w:hAnsi="Times New Roman" w:cs="Times New Roman"/>
          <w:sz w:val="28"/>
          <w:szCs w:val="28"/>
          <w:lang w:val="en-US"/>
        </w:rPr>
      </w:pPr>
    </w:p>
    <w:p w14:paraId="5ED993DA" w14:textId="77777777" w:rsidR="005D0FC7" w:rsidRPr="00BD60D0" w:rsidRDefault="005D0FC7" w:rsidP="005D0FC7">
      <w:pPr>
        <w:rPr>
          <w:rFonts w:ascii="Times New Roman" w:hAnsi="Times New Roman" w:cs="Times New Roman"/>
          <w:sz w:val="28"/>
          <w:szCs w:val="28"/>
          <w:lang w:val="en-US"/>
        </w:rPr>
      </w:pPr>
    </w:p>
    <w:p w14:paraId="546D5B59" w14:textId="7976CEA3"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Stabilization phase (1st </w:t>
      </w:r>
      <w:proofErr w:type="spellStart"/>
      <w:r w:rsidRPr="00BD60D0">
        <w:rPr>
          <w:rFonts w:ascii="Times New Roman" w:hAnsi="Times New Roman" w:cs="Times New Roman"/>
          <w:sz w:val="28"/>
          <w:szCs w:val="28"/>
          <w:lang w:val="en-US"/>
        </w:rPr>
        <w:t>wk</w:t>
      </w:r>
      <w:proofErr w:type="spellEnd"/>
      <w:proofErr w:type="gramStart"/>
      <w:r w:rsidRPr="00BD60D0">
        <w:rPr>
          <w:rFonts w:ascii="Times New Roman" w:hAnsi="Times New Roman" w:cs="Times New Roman"/>
          <w:sz w:val="28"/>
          <w:szCs w:val="28"/>
          <w:lang w:val="en-US"/>
        </w:rPr>
        <w:t>):-</w:t>
      </w:r>
      <w:proofErr w:type="gramEnd"/>
      <w:r w:rsidRPr="00BD60D0">
        <w:rPr>
          <w:rFonts w:ascii="Times New Roman" w:hAnsi="Times New Roman" w:cs="Times New Roman"/>
          <w:sz w:val="28"/>
          <w:szCs w:val="28"/>
        </w:rPr>
        <w:t xml:space="preserve"> </w:t>
      </w:r>
      <w:r w:rsidRPr="00BD60D0">
        <w:rPr>
          <w:rFonts w:ascii="Times New Roman" w:hAnsi="Times New Roman" w:cs="Times New Roman"/>
          <w:sz w:val="28"/>
          <w:szCs w:val="28"/>
          <w:lang w:val="en-US"/>
        </w:rPr>
        <w:t xml:space="preserve">It involves Rx &amp; </w:t>
      </w:r>
      <w:proofErr w:type="spellStart"/>
      <w:r w:rsidRPr="00BD60D0">
        <w:rPr>
          <w:rFonts w:ascii="Times New Roman" w:hAnsi="Times New Roman" w:cs="Times New Roman"/>
          <w:sz w:val="28"/>
          <w:szCs w:val="28"/>
          <w:lang w:val="en-US"/>
        </w:rPr>
        <w:t>Pv</w:t>
      </w:r>
      <w:proofErr w:type="spellEnd"/>
      <w:r w:rsidRPr="00BD60D0">
        <w:rPr>
          <w:rFonts w:ascii="Times New Roman" w:hAnsi="Times New Roman" w:cs="Times New Roman"/>
          <w:sz w:val="28"/>
          <w:szCs w:val="28"/>
          <w:lang w:val="en-US"/>
        </w:rPr>
        <w:t xml:space="preserve"> of infection, hypoglycemia, anemia, dehydration &amp; correction of electrolyte disturbances, and vitamins &amp; micronutrient deficiency (except iron).</w:t>
      </w:r>
    </w:p>
    <w:p w14:paraId="02563F06" w14:textId="77777777" w:rsidR="005D0FC7" w:rsidRPr="00BD60D0" w:rsidRDefault="005D0FC7" w:rsidP="005D0FC7">
      <w:pPr>
        <w:rPr>
          <w:rFonts w:ascii="Times New Roman" w:hAnsi="Times New Roman" w:cs="Times New Roman"/>
          <w:sz w:val="28"/>
          <w:szCs w:val="28"/>
          <w:lang w:val="en-US"/>
        </w:rPr>
      </w:pPr>
    </w:p>
    <w:p w14:paraId="5D659DFF" w14:textId="5DE24E0E"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feeding with F75 formula (75 kcal/100 ml)</w:t>
      </w:r>
    </w:p>
    <w:p w14:paraId="4DD95F41" w14:textId="2728173B" w:rsidR="005D0FC7" w:rsidRPr="00BD60D0" w:rsidRDefault="005D0FC7" w:rsidP="005D0FC7">
      <w:pPr>
        <w:rPr>
          <w:rFonts w:ascii="Times New Roman" w:hAnsi="Times New Roman" w:cs="Times New Roman"/>
          <w:sz w:val="28"/>
          <w:szCs w:val="28"/>
          <w:lang w:val="en-US"/>
        </w:rPr>
      </w:pPr>
    </w:p>
    <w:p w14:paraId="48100B60" w14:textId="2406997A"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2. Rehabilitation phase (2nd wk-6th </w:t>
      </w:r>
      <w:proofErr w:type="spellStart"/>
      <w:r w:rsidRPr="00BD60D0">
        <w:rPr>
          <w:rFonts w:ascii="Times New Roman" w:hAnsi="Times New Roman" w:cs="Times New Roman"/>
          <w:sz w:val="28"/>
          <w:szCs w:val="28"/>
          <w:lang w:val="en-US"/>
        </w:rPr>
        <w:t>wk</w:t>
      </w:r>
      <w:proofErr w:type="spellEnd"/>
      <w:proofErr w:type="gramStart"/>
      <w:r w:rsidRPr="00BD60D0">
        <w:rPr>
          <w:rFonts w:ascii="Times New Roman" w:hAnsi="Times New Roman" w:cs="Times New Roman"/>
          <w:sz w:val="28"/>
          <w:szCs w:val="28"/>
          <w:lang w:val="en-US"/>
        </w:rPr>
        <w:t>):-</w:t>
      </w:r>
      <w:proofErr w:type="gramEnd"/>
      <w:r w:rsidRPr="00BD60D0">
        <w:rPr>
          <w:rFonts w:ascii="Times New Roman" w:hAnsi="Times New Roman" w:cs="Times New Roman"/>
          <w:sz w:val="28"/>
          <w:szCs w:val="28"/>
          <w:lang w:val="en-US"/>
        </w:rPr>
        <w:t xml:space="preserve"> It involves feeding with F100 formula (100 kcal/100 ml) to give 100 kcal/kg/day. If oral feeding is not tolerated, give it by NG tube.</w:t>
      </w:r>
    </w:p>
    <w:p w14:paraId="1E6AE726" w14:textId="19F2F939"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3.follow-up phase (7th </w:t>
      </w:r>
      <w:proofErr w:type="spellStart"/>
      <w:r w:rsidRPr="00BD60D0">
        <w:rPr>
          <w:rFonts w:ascii="Times New Roman" w:hAnsi="Times New Roman" w:cs="Times New Roman"/>
          <w:sz w:val="28"/>
          <w:szCs w:val="28"/>
          <w:lang w:val="en-US"/>
        </w:rPr>
        <w:t>wk</w:t>
      </w:r>
      <w:proofErr w:type="spellEnd"/>
      <w:r w:rsidRPr="00BD60D0">
        <w:rPr>
          <w:rFonts w:ascii="Times New Roman" w:hAnsi="Times New Roman" w:cs="Times New Roman"/>
          <w:sz w:val="28"/>
          <w:szCs w:val="28"/>
          <w:lang w:val="en-US"/>
        </w:rPr>
        <w:t xml:space="preserve"> till recovery</w:t>
      </w:r>
      <w:proofErr w:type="gramStart"/>
      <w:r w:rsidRPr="00BD60D0">
        <w:rPr>
          <w:rFonts w:ascii="Times New Roman" w:hAnsi="Times New Roman" w:cs="Times New Roman"/>
          <w:sz w:val="28"/>
          <w:szCs w:val="28"/>
          <w:lang w:val="en-US"/>
        </w:rPr>
        <w:t>):-</w:t>
      </w:r>
      <w:proofErr w:type="gramEnd"/>
      <w:r w:rsidRPr="00BD60D0">
        <w:rPr>
          <w:rFonts w:ascii="Times New Roman" w:hAnsi="Times New Roman" w:cs="Times New Roman"/>
          <w:sz w:val="28"/>
          <w:szCs w:val="28"/>
        </w:rPr>
        <w:t xml:space="preserve"> </w:t>
      </w:r>
      <w:r w:rsidRPr="00BD60D0">
        <w:rPr>
          <w:rFonts w:ascii="Times New Roman" w:hAnsi="Times New Roman" w:cs="Times New Roman"/>
          <w:sz w:val="28"/>
          <w:szCs w:val="28"/>
          <w:lang w:val="en-US"/>
        </w:rPr>
        <w:t>By feeding to cover catch-up growth and also the provision of emotional stimulation with the aid of family &amp; the community.</w:t>
      </w:r>
    </w:p>
    <w:p w14:paraId="194FBC67" w14:textId="22FB7F58" w:rsidR="005D0FC7" w:rsidRPr="00BD60D0" w:rsidRDefault="005D0FC7" w:rsidP="005D0FC7">
      <w:pPr>
        <w:rPr>
          <w:rFonts w:ascii="Times New Roman" w:hAnsi="Times New Roman" w:cs="Times New Roman"/>
          <w:sz w:val="28"/>
          <w:szCs w:val="28"/>
          <w:lang w:val="en-US"/>
        </w:rPr>
      </w:pPr>
    </w:p>
    <w:p w14:paraId="25510C7A" w14:textId="31587AAD" w:rsidR="005D0FC7" w:rsidRPr="00BD60D0" w:rsidRDefault="005D0FC7" w:rsidP="005D0FC7">
      <w:pPr>
        <w:rPr>
          <w:rFonts w:ascii="Times New Roman" w:hAnsi="Times New Roman" w:cs="Times New Roman"/>
          <w:sz w:val="28"/>
          <w:szCs w:val="28"/>
          <w:lang w:val="en-US"/>
        </w:rPr>
      </w:pPr>
    </w:p>
    <w:p w14:paraId="2A671295" w14:textId="08DD8E21" w:rsidR="005D0FC7" w:rsidRPr="00BD60D0" w:rsidRDefault="005D0FC7" w:rsidP="005D0FC7">
      <w:pPr>
        <w:rPr>
          <w:rFonts w:ascii="Times New Roman" w:hAnsi="Times New Roman" w:cs="Times New Roman"/>
          <w:b/>
          <w:bCs/>
          <w:sz w:val="28"/>
          <w:szCs w:val="28"/>
          <w:lang w:val="en-US"/>
        </w:rPr>
      </w:pPr>
      <w:r w:rsidRPr="00BD60D0">
        <w:rPr>
          <w:rFonts w:ascii="Times New Roman" w:hAnsi="Times New Roman" w:cs="Times New Roman"/>
          <w:b/>
          <w:bCs/>
          <w:sz w:val="28"/>
          <w:szCs w:val="28"/>
          <w:lang w:val="en-US"/>
        </w:rPr>
        <w:t>Re-feeding Syndrome</w:t>
      </w:r>
    </w:p>
    <w:p w14:paraId="36A233BD" w14:textId="07A7A73E" w:rsidR="005D0FC7" w:rsidRPr="00BD60D0" w:rsidRDefault="005D0FC7" w:rsidP="005D0FC7">
      <w:pPr>
        <w:rPr>
          <w:rFonts w:ascii="Times New Roman" w:hAnsi="Times New Roman" w:cs="Times New Roman"/>
          <w:sz w:val="28"/>
          <w:szCs w:val="28"/>
          <w:lang w:val="en-US"/>
        </w:rPr>
      </w:pPr>
    </w:p>
    <w:p w14:paraId="2C7506D6"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It usually complicates the acute nutritional rehabilitation after aggressive enteral or parenteral alimentation due to the development of severe hypophosphatemia after the cellular uptake of phosphate during the 1st </w:t>
      </w:r>
      <w:proofErr w:type="spellStart"/>
      <w:r w:rsidRPr="00BD60D0">
        <w:rPr>
          <w:rFonts w:ascii="Times New Roman" w:hAnsi="Times New Roman" w:cs="Times New Roman"/>
          <w:sz w:val="28"/>
          <w:szCs w:val="28"/>
          <w:lang w:val="en-US"/>
        </w:rPr>
        <w:t>wk</w:t>
      </w:r>
      <w:proofErr w:type="spellEnd"/>
      <w:r w:rsidRPr="00BD60D0">
        <w:rPr>
          <w:rFonts w:ascii="Times New Roman" w:hAnsi="Times New Roman" w:cs="Times New Roman"/>
          <w:sz w:val="28"/>
          <w:szCs w:val="28"/>
          <w:lang w:val="en-US"/>
        </w:rPr>
        <w:t xml:space="preserve"> of starting therapy.</w:t>
      </w:r>
    </w:p>
    <w:p w14:paraId="20941862" w14:textId="77777777" w:rsidR="005D0FC7" w:rsidRPr="00BD60D0" w:rsidRDefault="005D0FC7" w:rsidP="005D0FC7">
      <w:pPr>
        <w:rPr>
          <w:rFonts w:ascii="Times New Roman" w:hAnsi="Times New Roman" w:cs="Times New Roman"/>
          <w:sz w:val="28"/>
          <w:szCs w:val="28"/>
          <w:lang w:val="en-US"/>
        </w:rPr>
      </w:pPr>
    </w:p>
    <w:p w14:paraId="45C7B058" w14:textId="5BC4059C"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 Other features of Refeeding syndrome include: hypokalemia, hypomagnesemia, sodium retention, hyperglycemia, &amp; vitamins deficiency (especially thiamin).</w:t>
      </w:r>
    </w:p>
    <w:p w14:paraId="0A182058" w14:textId="5A9D8E4F" w:rsidR="005D0FC7" w:rsidRPr="00BD60D0" w:rsidRDefault="005D0FC7" w:rsidP="005D0FC7">
      <w:pPr>
        <w:rPr>
          <w:rFonts w:ascii="Times New Roman" w:hAnsi="Times New Roman" w:cs="Times New Roman"/>
          <w:sz w:val="28"/>
          <w:szCs w:val="28"/>
          <w:lang w:val="en-US"/>
        </w:rPr>
      </w:pPr>
    </w:p>
    <w:p w14:paraId="5B8C77D4"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C.M. of hypophosphatemia especially when serum Pi is ≤ 0.5 mmol/L include:</w:t>
      </w:r>
    </w:p>
    <w:p w14:paraId="36DDF79A" w14:textId="77777777" w:rsidR="005D0FC7" w:rsidRPr="00BD60D0" w:rsidRDefault="005D0FC7" w:rsidP="005D0FC7">
      <w:pPr>
        <w:rPr>
          <w:rFonts w:ascii="Times New Roman" w:hAnsi="Times New Roman" w:cs="Times New Roman"/>
          <w:sz w:val="28"/>
          <w:szCs w:val="28"/>
          <w:lang w:val="en-US"/>
        </w:rPr>
      </w:pPr>
    </w:p>
    <w:p w14:paraId="7C70A4E2"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 -weakness</w:t>
      </w:r>
    </w:p>
    <w:p w14:paraId="08727F6C"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 -rhabdomyolysis</w:t>
      </w:r>
    </w:p>
    <w:p w14:paraId="2B8EF587"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 -neutrophil dysfunction, hemolysis, thrombocytopenia </w:t>
      </w:r>
    </w:p>
    <w:p w14:paraId="266E04BA"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-seizures, altered consciousness</w:t>
      </w:r>
    </w:p>
    <w:p w14:paraId="65B80E63"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 -arrhythmias, cardiorespiratory failure, &amp; sudden death </w:t>
      </w:r>
    </w:p>
    <w:p w14:paraId="3A6172B5"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Inv. Monitor serum Pi, K, Mg &amp; Ca frequently in the 1st 2 </w:t>
      </w:r>
      <w:proofErr w:type="spellStart"/>
      <w:r w:rsidRPr="00BD60D0">
        <w:rPr>
          <w:rFonts w:ascii="Times New Roman" w:hAnsi="Times New Roman" w:cs="Times New Roman"/>
          <w:sz w:val="28"/>
          <w:szCs w:val="28"/>
          <w:lang w:val="en-US"/>
        </w:rPr>
        <w:t>wk</w:t>
      </w:r>
      <w:proofErr w:type="spellEnd"/>
      <w:r w:rsidRPr="00BD60D0">
        <w:rPr>
          <w:rFonts w:ascii="Times New Roman" w:hAnsi="Times New Roman" w:cs="Times New Roman"/>
          <w:sz w:val="28"/>
          <w:szCs w:val="28"/>
          <w:lang w:val="en-US"/>
        </w:rPr>
        <w:t xml:space="preserve"> after Rx. </w:t>
      </w:r>
    </w:p>
    <w:p w14:paraId="69694B55" w14:textId="3B34E7F2"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Rx. Slowly ↑ feeding with supplementation of minerals (especially phosphate) &amp; vitamins (especially thiamin) as well as the correction of other electrolytes disturbances, especially hypokalemia &amp; hypomagnesemia  </w:t>
      </w:r>
    </w:p>
    <w:p w14:paraId="77B3078D" w14:textId="2A35A7DB" w:rsidR="005D0FC7" w:rsidRPr="00BD60D0" w:rsidRDefault="005D0FC7" w:rsidP="005D0FC7">
      <w:pPr>
        <w:rPr>
          <w:rFonts w:ascii="Times New Roman" w:hAnsi="Times New Roman" w:cs="Times New Roman"/>
          <w:sz w:val="28"/>
          <w:szCs w:val="28"/>
          <w:lang w:val="en-US"/>
        </w:rPr>
      </w:pPr>
    </w:p>
    <w:p w14:paraId="67754B4E" w14:textId="19D6EBDF" w:rsidR="005D0FC7" w:rsidRPr="00BD60D0" w:rsidRDefault="005D0FC7" w:rsidP="005D0FC7">
      <w:pPr>
        <w:rPr>
          <w:rFonts w:ascii="Times New Roman" w:hAnsi="Times New Roman" w:cs="Times New Roman"/>
          <w:sz w:val="28"/>
          <w:szCs w:val="28"/>
          <w:lang w:val="en-US"/>
        </w:rPr>
      </w:pPr>
    </w:p>
    <w:p w14:paraId="65237924" w14:textId="1CEB3D96" w:rsidR="005D0FC7" w:rsidRPr="00BD60D0" w:rsidRDefault="005D0FC7" w:rsidP="005D0FC7">
      <w:pPr>
        <w:rPr>
          <w:rFonts w:ascii="Times New Roman" w:hAnsi="Times New Roman" w:cs="Times New Roman"/>
          <w:sz w:val="28"/>
          <w:szCs w:val="28"/>
          <w:lang w:val="en-US"/>
        </w:rPr>
      </w:pPr>
    </w:p>
    <w:p w14:paraId="76214F3D" w14:textId="77777777" w:rsidR="005D0FC7" w:rsidRPr="00BD60D0" w:rsidRDefault="005D0FC7" w:rsidP="005D0FC7">
      <w:pPr>
        <w:rPr>
          <w:rFonts w:ascii="Times New Roman" w:hAnsi="Times New Roman" w:cs="Times New Roman"/>
          <w:b/>
          <w:bCs/>
          <w:sz w:val="28"/>
          <w:szCs w:val="28"/>
          <w:lang w:val="en-US"/>
        </w:rPr>
      </w:pPr>
      <w:r w:rsidRPr="00BD60D0">
        <w:rPr>
          <w:rFonts w:ascii="Times New Roman" w:hAnsi="Times New Roman" w:cs="Times New Roman"/>
          <w:b/>
          <w:bCs/>
          <w:sz w:val="28"/>
          <w:szCs w:val="28"/>
          <w:lang w:val="en-US"/>
        </w:rPr>
        <w:t xml:space="preserve">Complications of Malnutrition </w:t>
      </w:r>
    </w:p>
    <w:p w14:paraId="76E9E0BA" w14:textId="77777777" w:rsidR="005D0FC7" w:rsidRPr="00BD60D0" w:rsidRDefault="005D0FC7" w:rsidP="005D0FC7">
      <w:pPr>
        <w:rPr>
          <w:rFonts w:ascii="Times New Roman" w:hAnsi="Times New Roman" w:cs="Times New Roman"/>
          <w:sz w:val="28"/>
          <w:szCs w:val="28"/>
          <w:lang w:val="en-US"/>
        </w:rPr>
      </w:pPr>
    </w:p>
    <w:p w14:paraId="055F2C4C" w14:textId="77777777"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Malnourished children are more susceptible to infection, especially sepsis, pneumonia, and gastroenteritis. Hypoglycemia is common after periods of severe fasting but may also be a sign of sepsis. Hypothermia may signify infection or, with bradycardia, may signify a decreased metabolic rate to conserve energy. Bradycardia and poor cardiac output predispose the malnourished child to heart failure, which is exacerbated by acute fluid or solute loads. Micronutrient deficiencies also can complicate malnutrition. Vitamin A and zinc deficiencies are common in the developing world and are an important cause of altered immune response and increased morbidity and mortality. </w:t>
      </w:r>
    </w:p>
    <w:p w14:paraId="2F33024D" w14:textId="77777777" w:rsidR="005D0FC7" w:rsidRPr="00BD60D0" w:rsidRDefault="005D0FC7" w:rsidP="005D0FC7">
      <w:pPr>
        <w:rPr>
          <w:rFonts w:ascii="Times New Roman" w:hAnsi="Times New Roman" w:cs="Times New Roman"/>
          <w:sz w:val="28"/>
          <w:szCs w:val="28"/>
          <w:lang w:val="en-US"/>
        </w:rPr>
      </w:pPr>
    </w:p>
    <w:p w14:paraId="07A65F5D" w14:textId="3582CBED"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Depending on the age at onset and the duration of the malnutrition, malnourished children may have permanent growth stunting (from malnutrition in utero, infancy, or adolescence) and delayed development (from malnutrition in infancy or adolescence). Environmental (social) deprivation may interact with the effects of the malnutrition to impair further development and cognitive function.</w:t>
      </w:r>
    </w:p>
    <w:p w14:paraId="75D61F7B" w14:textId="3282B077" w:rsidR="005D0FC7" w:rsidRPr="00BD60D0" w:rsidRDefault="005D0FC7" w:rsidP="005D0FC7">
      <w:pPr>
        <w:rPr>
          <w:rFonts w:ascii="Times New Roman" w:hAnsi="Times New Roman" w:cs="Times New Roman"/>
          <w:sz w:val="28"/>
          <w:szCs w:val="28"/>
          <w:lang w:val="en-US"/>
        </w:rPr>
      </w:pPr>
    </w:p>
    <w:p w14:paraId="5AB88598" w14:textId="73E9F32E" w:rsidR="005D0FC7" w:rsidRPr="00BD60D0" w:rsidRDefault="005D0FC7" w:rsidP="005D0FC7">
      <w:pPr>
        <w:rPr>
          <w:rFonts w:ascii="Times New Roman" w:hAnsi="Times New Roman" w:cs="Times New Roman"/>
          <w:sz w:val="28"/>
          <w:szCs w:val="28"/>
          <w:lang w:val="en-US"/>
        </w:rPr>
      </w:pPr>
    </w:p>
    <w:p w14:paraId="7123192E" w14:textId="0847459A" w:rsidR="005D0FC7" w:rsidRPr="00BD60D0" w:rsidRDefault="005D0FC7" w:rsidP="005D0FC7">
      <w:pPr>
        <w:rPr>
          <w:rFonts w:ascii="Times New Roman" w:hAnsi="Times New Roman" w:cs="Times New Roman"/>
          <w:b/>
          <w:bCs/>
          <w:sz w:val="28"/>
          <w:szCs w:val="28"/>
          <w:lang w:val="en-US"/>
        </w:rPr>
      </w:pPr>
      <w:r w:rsidRPr="00BD60D0">
        <w:rPr>
          <w:rFonts w:ascii="Times New Roman" w:hAnsi="Times New Roman" w:cs="Times New Roman"/>
          <w:b/>
          <w:bCs/>
          <w:sz w:val="28"/>
          <w:szCs w:val="28"/>
          <w:lang w:val="en-US"/>
        </w:rPr>
        <w:t>Vitamin and Mineral Deficiencies</w:t>
      </w:r>
    </w:p>
    <w:p w14:paraId="3145E5E9" w14:textId="6191E1A0" w:rsidR="005D0FC7" w:rsidRPr="00BD60D0" w:rsidRDefault="005D0FC7" w:rsidP="005D0FC7">
      <w:pPr>
        <w:rPr>
          <w:rFonts w:ascii="Times New Roman" w:hAnsi="Times New Roman" w:cs="Times New Roman"/>
          <w:b/>
          <w:bCs/>
          <w:sz w:val="28"/>
          <w:szCs w:val="28"/>
          <w:lang w:val="en-US"/>
        </w:rPr>
      </w:pPr>
    </w:p>
    <w:p w14:paraId="3489A9FE" w14:textId="46300699" w:rsidR="005D0FC7" w:rsidRPr="00BD60D0" w:rsidRDefault="005D0FC7" w:rsidP="005D0FC7">
      <w:pPr>
        <w:rPr>
          <w:rFonts w:ascii="Times New Roman" w:hAnsi="Times New Roman" w:cs="Times New Roman"/>
          <w:b/>
          <w:bCs/>
          <w:sz w:val="28"/>
          <w:szCs w:val="28"/>
          <w:lang w:val="en-US"/>
        </w:rPr>
      </w:pPr>
      <w:r w:rsidRPr="00BD60D0">
        <w:rPr>
          <w:rFonts w:ascii="Times New Roman" w:hAnsi="Times New Roman" w:cs="Times New Roman"/>
          <w:b/>
          <w:bCs/>
          <w:sz w:val="28"/>
          <w:szCs w:val="28"/>
          <w:lang w:val="en-US"/>
        </w:rPr>
        <w:t>Water-Soluble Vitamins</w:t>
      </w:r>
    </w:p>
    <w:p w14:paraId="3B79E3ED" w14:textId="2C5107A7" w:rsidR="005D0FC7" w:rsidRPr="00BD60D0" w:rsidRDefault="005D0FC7" w:rsidP="005D0FC7">
      <w:pPr>
        <w:rPr>
          <w:rFonts w:ascii="Times New Roman" w:hAnsi="Times New Roman" w:cs="Times New Roman"/>
          <w:b/>
          <w:bCs/>
          <w:sz w:val="28"/>
          <w:szCs w:val="28"/>
          <w:lang w:val="en-US"/>
        </w:rPr>
      </w:pPr>
      <w:r w:rsidRPr="00BD60D0">
        <w:rPr>
          <w:rFonts w:ascii="Times New Roman" w:hAnsi="Times New Roman" w:cs="Times New Roman"/>
          <w:b/>
          <w:bCs/>
          <w:sz w:val="28"/>
          <w:szCs w:val="28"/>
          <w:lang w:val="en-US"/>
        </w:rPr>
        <w:t>Ascorbic Acid</w:t>
      </w:r>
    </w:p>
    <w:p w14:paraId="3B9F5A6D" w14:textId="5D195500" w:rsidR="005D0FC7" w:rsidRPr="00BD60D0" w:rsidRDefault="005D0FC7" w:rsidP="005D0FC7">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A deficiency of ascorbic acid results in the clinical manifestation of scurvy. Infantile scurvy is manifested by irritability, bone tenderness with swelling, and </w:t>
      </w:r>
      <w:proofErr w:type="spellStart"/>
      <w:r w:rsidRPr="00BD60D0">
        <w:rPr>
          <w:rFonts w:ascii="Times New Roman" w:hAnsi="Times New Roman" w:cs="Times New Roman"/>
          <w:sz w:val="28"/>
          <w:szCs w:val="28"/>
          <w:lang w:val="en-US"/>
        </w:rPr>
        <w:t>pseudoparalysis</w:t>
      </w:r>
      <w:proofErr w:type="spellEnd"/>
      <w:r w:rsidRPr="00BD60D0">
        <w:rPr>
          <w:rFonts w:ascii="Times New Roman" w:hAnsi="Times New Roman" w:cs="Times New Roman"/>
          <w:sz w:val="28"/>
          <w:szCs w:val="28"/>
          <w:lang w:val="en-US"/>
        </w:rPr>
        <w:t xml:space="preserve"> of the legs. The disease may occur if infants are fed </w:t>
      </w:r>
      <w:proofErr w:type="spellStart"/>
      <w:r w:rsidRPr="00BD60D0">
        <w:rPr>
          <w:rFonts w:ascii="Times New Roman" w:hAnsi="Times New Roman" w:cs="Times New Roman"/>
          <w:sz w:val="28"/>
          <w:szCs w:val="28"/>
          <w:lang w:val="en-US"/>
        </w:rPr>
        <w:t>unsupplemented</w:t>
      </w:r>
      <w:proofErr w:type="spellEnd"/>
      <w:r w:rsidRPr="00BD60D0">
        <w:rPr>
          <w:rFonts w:ascii="Times New Roman" w:hAnsi="Times New Roman" w:cs="Times New Roman"/>
          <w:sz w:val="28"/>
          <w:szCs w:val="28"/>
          <w:lang w:val="en-US"/>
        </w:rPr>
        <w:t xml:space="preserve"> cow's milk in the first year of life or if the diet is devoid of fruits and vegetables. Subperiosteal hemorrhage, bleeding gums and petechiae, hyperkeratosis of hair follicles, and a succession of mental changes characterize the progression of the illness. Anemia secondary to bleeding, decreased iron absorption, or abnormal folate metabolism are also seen in chronic scurvy.</w:t>
      </w:r>
    </w:p>
    <w:p w14:paraId="2FDED1D8" w14:textId="12251414" w:rsidR="005D0FC7" w:rsidRPr="00BD60D0" w:rsidRDefault="005D0FC7" w:rsidP="005D0FC7">
      <w:pPr>
        <w:rPr>
          <w:rFonts w:ascii="Times New Roman" w:hAnsi="Times New Roman" w:cs="Times New Roman"/>
          <w:sz w:val="28"/>
          <w:szCs w:val="28"/>
          <w:lang w:val="en-US"/>
        </w:rPr>
      </w:pPr>
    </w:p>
    <w:p w14:paraId="337FF71E" w14:textId="459CE7E2" w:rsidR="005D0FC7" w:rsidRPr="00BD60D0" w:rsidRDefault="005D0FC7" w:rsidP="005D0FC7">
      <w:pPr>
        <w:rPr>
          <w:rFonts w:ascii="Times New Roman" w:hAnsi="Times New Roman" w:cs="Times New Roman"/>
          <w:sz w:val="28"/>
          <w:szCs w:val="28"/>
          <w:lang w:val="en-US"/>
        </w:rPr>
      </w:pPr>
    </w:p>
    <w:p w14:paraId="2D89F8CB" w14:textId="0389D4DE" w:rsidR="005D0FC7" w:rsidRPr="00BD60D0" w:rsidRDefault="005D0FC7" w:rsidP="00F60636">
      <w:pPr>
        <w:bidi/>
        <w:rPr>
          <w:rFonts w:ascii="Times New Roman" w:hAnsi="Times New Roman" w:cs="Times New Roman"/>
          <w:sz w:val="28"/>
          <w:szCs w:val="28"/>
          <w:lang w:val="en-US"/>
        </w:rPr>
      </w:pPr>
    </w:p>
    <w:p w14:paraId="2BBE5AA6" w14:textId="67244260" w:rsidR="00BD60D0" w:rsidRPr="00BD60D0" w:rsidRDefault="00BD60D0" w:rsidP="005D0FC7">
      <w:pPr>
        <w:rPr>
          <w:rFonts w:ascii="Times New Roman" w:hAnsi="Times New Roman" w:cs="Times New Roman"/>
          <w:sz w:val="28"/>
          <w:szCs w:val="28"/>
          <w:lang w:val="en-US"/>
        </w:rPr>
      </w:pPr>
    </w:p>
    <w:p w14:paraId="75134852" w14:textId="7FCA5DC2" w:rsidR="00BD60D0" w:rsidRPr="00BD60D0" w:rsidRDefault="00BD60D0" w:rsidP="005D0FC7">
      <w:pPr>
        <w:rPr>
          <w:rFonts w:ascii="Times New Roman" w:hAnsi="Times New Roman" w:cs="Times New Roman"/>
          <w:sz w:val="28"/>
          <w:szCs w:val="28"/>
          <w:lang w:val="en-US"/>
        </w:rPr>
      </w:pPr>
    </w:p>
    <w:p w14:paraId="117BD1F1" w14:textId="4350FAC6" w:rsidR="00BD60D0" w:rsidRPr="00F60636" w:rsidRDefault="00BD60D0" w:rsidP="005D0FC7">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B Vitamins</w:t>
      </w:r>
    </w:p>
    <w:p w14:paraId="14B14AE2" w14:textId="7092887B" w:rsidR="00BD60D0" w:rsidRPr="00BD60D0" w:rsidRDefault="00BD60D0" w:rsidP="005D0FC7">
      <w:pPr>
        <w:rPr>
          <w:rFonts w:ascii="Times New Roman" w:hAnsi="Times New Roman" w:cs="Times New Roman"/>
          <w:sz w:val="28"/>
          <w:szCs w:val="28"/>
          <w:lang w:val="en-US"/>
        </w:rPr>
      </w:pPr>
    </w:p>
    <w:p w14:paraId="499D1533" w14:textId="77777777" w:rsidR="00BD60D0" w:rsidRPr="00F60636" w:rsidRDefault="00BD60D0" w:rsidP="00BD60D0">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 xml:space="preserve">Thiamine </w:t>
      </w:r>
    </w:p>
    <w:p w14:paraId="2A432F7A" w14:textId="77777777" w:rsidR="00BD60D0" w:rsidRPr="00BD60D0" w:rsidRDefault="00BD60D0" w:rsidP="00BD60D0">
      <w:pPr>
        <w:rPr>
          <w:rFonts w:ascii="Times New Roman" w:hAnsi="Times New Roman" w:cs="Times New Roman"/>
          <w:sz w:val="28"/>
          <w:szCs w:val="28"/>
          <w:lang w:val="en-US"/>
        </w:rPr>
      </w:pPr>
    </w:p>
    <w:p w14:paraId="6E812F03"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Thiamine deficiency occurs in alcoholics and has been reported in adolescents who have undergone bariatric surgery for severe obesity. Infantile beriberi occurs between 1 and 4 months of age in breast fed infants whose mothers have a thiamine deficiency (alcoholism), in infants with protein-calorie malnutrition, in infants receiving </w:t>
      </w:r>
      <w:proofErr w:type="spellStart"/>
      <w:r w:rsidRPr="00BD60D0">
        <w:rPr>
          <w:rFonts w:ascii="Times New Roman" w:hAnsi="Times New Roman" w:cs="Times New Roman"/>
          <w:sz w:val="28"/>
          <w:szCs w:val="28"/>
          <w:lang w:val="en-US"/>
        </w:rPr>
        <w:t>unsupplemented</w:t>
      </w:r>
      <w:proofErr w:type="spellEnd"/>
      <w:r w:rsidRPr="00BD60D0">
        <w:rPr>
          <w:rFonts w:ascii="Times New Roman" w:hAnsi="Times New Roman" w:cs="Times New Roman"/>
          <w:sz w:val="28"/>
          <w:szCs w:val="28"/>
          <w:lang w:val="en-US"/>
        </w:rPr>
        <w:t xml:space="preserve"> hyperalimentation fluid, and in infants receiving boiled milk. </w:t>
      </w:r>
    </w:p>
    <w:p w14:paraId="6CF5822B" w14:textId="77777777" w:rsidR="00BD60D0" w:rsidRPr="00BD60D0" w:rsidRDefault="00BD60D0" w:rsidP="00BD60D0">
      <w:pPr>
        <w:rPr>
          <w:rFonts w:ascii="Times New Roman" w:hAnsi="Times New Roman" w:cs="Times New Roman"/>
          <w:sz w:val="28"/>
          <w:szCs w:val="28"/>
          <w:lang w:val="en-US"/>
        </w:rPr>
      </w:pPr>
    </w:p>
    <w:p w14:paraId="408AC25B" w14:textId="1E949CDA"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Acute wet beriberi with cardiac symptoms and signs predominates in infantile beriberi. Anorexia, apathy, vomiting, restlessness, and pallor progress to dyspnea, cyanosis, and death from heart failure. Infants with beriberi have a characteristic aphonic cry; they appear to be crying, but no sound is uttered. Other signs include peripheral neuropathy and </w:t>
      </w:r>
      <w:proofErr w:type="spellStart"/>
      <w:r w:rsidRPr="00BD60D0">
        <w:rPr>
          <w:rFonts w:ascii="Times New Roman" w:hAnsi="Times New Roman" w:cs="Times New Roman"/>
          <w:sz w:val="28"/>
          <w:szCs w:val="28"/>
          <w:lang w:val="en-US"/>
        </w:rPr>
        <w:t>paresthesias</w:t>
      </w:r>
      <w:proofErr w:type="spellEnd"/>
    </w:p>
    <w:p w14:paraId="465217C9" w14:textId="56674386" w:rsidR="00BD60D0" w:rsidRPr="00BD60D0" w:rsidRDefault="00BD60D0" w:rsidP="00BD60D0">
      <w:pPr>
        <w:rPr>
          <w:rFonts w:ascii="Times New Roman" w:hAnsi="Times New Roman" w:cs="Times New Roman"/>
          <w:sz w:val="28"/>
          <w:szCs w:val="28"/>
          <w:lang w:val="en-US"/>
        </w:rPr>
      </w:pPr>
    </w:p>
    <w:p w14:paraId="52964CC9" w14:textId="7E3A2AD6" w:rsidR="00BD60D0" w:rsidRPr="00F60636" w:rsidRDefault="00BD60D0" w:rsidP="00BD60D0">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Riboflavin</w:t>
      </w:r>
    </w:p>
    <w:p w14:paraId="3632645F"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Ariboflavinosis is characterized by an angular stomatitis; glossitis; cheilosis; seborrheic dermatitis around the nose and mouth; and eye changes that include reduced tearing, photophobia, corneal vascularization, and the formation of cataracts. </w:t>
      </w:r>
    </w:p>
    <w:p w14:paraId="464158E4" w14:textId="77777777" w:rsidR="00BD60D0" w:rsidRPr="00BD60D0" w:rsidRDefault="00BD60D0" w:rsidP="00BD60D0">
      <w:pPr>
        <w:rPr>
          <w:rFonts w:ascii="Times New Roman" w:hAnsi="Times New Roman" w:cs="Times New Roman"/>
          <w:sz w:val="28"/>
          <w:szCs w:val="28"/>
          <w:lang w:val="en-US"/>
        </w:rPr>
      </w:pPr>
    </w:p>
    <w:p w14:paraId="188A51B3" w14:textId="07C51F04"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Subclinical riboflavin deficiencies have been found in diabetic subjects, children in families with low socioeconomic status, children with chronic </w:t>
      </w:r>
      <w:r w:rsidRPr="00BD60D0">
        <w:rPr>
          <w:rFonts w:ascii="Times New Roman" w:hAnsi="Times New Roman" w:cs="Times New Roman"/>
          <w:sz w:val="28"/>
          <w:szCs w:val="28"/>
          <w:lang w:val="en-US"/>
        </w:rPr>
        <w:lastRenderedPageBreak/>
        <w:t>cardiac disease, and infants undergoing prolonged phototherapy for hyperbilirubinemia.</w:t>
      </w:r>
    </w:p>
    <w:p w14:paraId="3043A01D" w14:textId="2D625333" w:rsidR="00BD60D0" w:rsidRPr="00BD60D0" w:rsidRDefault="00BD60D0" w:rsidP="00BD60D0">
      <w:pPr>
        <w:rPr>
          <w:rFonts w:ascii="Times New Roman" w:hAnsi="Times New Roman" w:cs="Times New Roman"/>
          <w:sz w:val="28"/>
          <w:szCs w:val="28"/>
          <w:lang w:val="en-US"/>
        </w:rPr>
      </w:pPr>
    </w:p>
    <w:p w14:paraId="301E9D20" w14:textId="413AFAD1" w:rsidR="00BD60D0" w:rsidRPr="00BD60D0" w:rsidRDefault="00BD60D0" w:rsidP="00BD60D0">
      <w:pPr>
        <w:rPr>
          <w:rFonts w:ascii="Times New Roman" w:hAnsi="Times New Roman" w:cs="Times New Roman"/>
          <w:sz w:val="28"/>
          <w:szCs w:val="28"/>
          <w:lang w:val="en-US"/>
        </w:rPr>
      </w:pPr>
    </w:p>
    <w:p w14:paraId="0CA5CD13" w14:textId="6D318E4F" w:rsidR="00BD60D0" w:rsidRPr="00BD60D0" w:rsidRDefault="00BD60D0" w:rsidP="00BD60D0">
      <w:pPr>
        <w:rPr>
          <w:rFonts w:ascii="Times New Roman" w:hAnsi="Times New Roman" w:cs="Times New Roman"/>
          <w:sz w:val="28"/>
          <w:szCs w:val="28"/>
          <w:lang w:val="en-US"/>
        </w:rPr>
      </w:pPr>
    </w:p>
    <w:p w14:paraId="212D58AC" w14:textId="472BB17E" w:rsidR="00BD60D0" w:rsidRPr="00F60636" w:rsidRDefault="00BD60D0" w:rsidP="00BD60D0">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Niacin</w:t>
      </w:r>
    </w:p>
    <w:p w14:paraId="72450B02" w14:textId="24AF37C4"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Pellagra, or niacin deficiency disease, is characterized by weakness, lassitude, dermatitis, photosensitivity, inflammation of mucous membranes, diarrhea, vomiting, dysphagia, and, in severe cases, dementia.</w:t>
      </w:r>
    </w:p>
    <w:p w14:paraId="70FB2341" w14:textId="6D8478A2" w:rsidR="00BD60D0" w:rsidRPr="00BD60D0" w:rsidRDefault="00BD60D0" w:rsidP="00BD60D0">
      <w:pPr>
        <w:rPr>
          <w:rFonts w:ascii="Times New Roman" w:hAnsi="Times New Roman" w:cs="Times New Roman"/>
          <w:sz w:val="28"/>
          <w:szCs w:val="28"/>
          <w:lang w:val="en-US"/>
        </w:rPr>
      </w:pPr>
    </w:p>
    <w:p w14:paraId="0E14E128" w14:textId="55D0E5B7" w:rsidR="00BD60D0" w:rsidRPr="00F60636" w:rsidRDefault="00BD60D0" w:rsidP="00BD60D0">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Vitamin B6</w:t>
      </w:r>
    </w:p>
    <w:p w14:paraId="4A0977EB" w14:textId="684A556D" w:rsidR="00BD60D0" w:rsidRPr="00BD60D0" w:rsidRDefault="00BD60D0" w:rsidP="00BD60D0">
      <w:pPr>
        <w:rPr>
          <w:rFonts w:ascii="Times New Roman" w:hAnsi="Times New Roman" w:cs="Times New Roman"/>
          <w:sz w:val="28"/>
          <w:szCs w:val="28"/>
          <w:lang w:val="en-US"/>
        </w:rPr>
      </w:pPr>
    </w:p>
    <w:p w14:paraId="2A617D95"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The pyridoxal and pyridoxamine forms of the vitamin are destroyed by heat; heat treatment was responsible for vitamin B6 deficiency and seizures in infants fed </w:t>
      </w:r>
    </w:p>
    <w:p w14:paraId="791B82E2"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improperly processed formulas. Goat's milk is deficient in vitamin B6.</w:t>
      </w:r>
      <w:r w:rsidRPr="00BD60D0">
        <w:rPr>
          <w:rFonts w:ascii="Times New Roman" w:eastAsia="MS Gothic" w:hAnsi="Times New Roman" w:cs="Times New Roman"/>
          <w:sz w:val="28"/>
          <w:szCs w:val="28"/>
          <w:lang w:val="en-US"/>
        </w:rPr>
        <w:t> </w:t>
      </w:r>
      <w:r w:rsidRPr="00BD60D0">
        <w:rPr>
          <w:rFonts w:ascii="Times New Roman" w:hAnsi="Times New Roman" w:cs="Times New Roman"/>
          <w:sz w:val="28"/>
          <w:szCs w:val="28"/>
          <w:lang w:val="en-US"/>
        </w:rPr>
        <w:t xml:space="preserve">Dietary deprivation or malabsorption of vitamin B6 in children results in hypochromic microcytic anemia, vomiting, diarrhea, failure to thrive, </w:t>
      </w:r>
    </w:p>
    <w:p w14:paraId="2F791C6D"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listlessness, hyperirritability, and seizures. Children receiving isoniazid or penicillamine may require additional vitamin B6 because the drug binds to the </w:t>
      </w:r>
    </w:p>
    <w:p w14:paraId="06BC1563" w14:textId="5C32B7D8"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vitamin. Vitamin B6 is unusual as a water-soluble vitamin, in that very large doses (≥500 mg/day) have been associated with a sensory neuropathy.</w:t>
      </w:r>
    </w:p>
    <w:p w14:paraId="20C3B40F" w14:textId="0EDF6E15" w:rsidR="00BD60D0" w:rsidRPr="00BD60D0" w:rsidRDefault="00BD60D0" w:rsidP="00BD60D0">
      <w:pPr>
        <w:rPr>
          <w:rFonts w:ascii="Times New Roman" w:hAnsi="Times New Roman" w:cs="Times New Roman"/>
          <w:sz w:val="28"/>
          <w:szCs w:val="28"/>
          <w:lang w:val="en-US"/>
        </w:rPr>
      </w:pPr>
    </w:p>
    <w:p w14:paraId="2C8ECBCF" w14:textId="19B66F03" w:rsidR="00BD60D0" w:rsidRPr="00F60636" w:rsidRDefault="00BD60D0" w:rsidP="00BD60D0">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Folate</w:t>
      </w:r>
    </w:p>
    <w:p w14:paraId="06CD7B4B" w14:textId="13FF9E60" w:rsidR="00BD60D0" w:rsidRPr="00BD60D0" w:rsidRDefault="00BD60D0" w:rsidP="00BD60D0">
      <w:pPr>
        <w:rPr>
          <w:rFonts w:ascii="Times New Roman" w:hAnsi="Times New Roman" w:cs="Times New Roman"/>
          <w:sz w:val="28"/>
          <w:szCs w:val="28"/>
          <w:lang w:val="en-US"/>
        </w:rPr>
      </w:pPr>
    </w:p>
    <w:p w14:paraId="27D460BD"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Folate deficiency, characterized by </w:t>
      </w:r>
      <w:proofErr w:type="spellStart"/>
      <w:r w:rsidRPr="00BD60D0">
        <w:rPr>
          <w:rFonts w:ascii="Times New Roman" w:hAnsi="Times New Roman" w:cs="Times New Roman"/>
          <w:sz w:val="28"/>
          <w:szCs w:val="28"/>
          <w:lang w:val="en-US"/>
        </w:rPr>
        <w:t>hypersegmented</w:t>
      </w:r>
      <w:proofErr w:type="spellEnd"/>
      <w:r w:rsidRPr="00BD60D0">
        <w:rPr>
          <w:rFonts w:ascii="Times New Roman" w:hAnsi="Times New Roman" w:cs="Times New Roman"/>
          <w:sz w:val="28"/>
          <w:szCs w:val="28"/>
          <w:lang w:val="en-US"/>
        </w:rPr>
        <w:t xml:space="preserve"> neutrophils, macrocytic anemia, and glossitis, may result from a low dietary intake, malabsorption, or vitamin-drug interactions. Deficiency can develop within a few weeks of birth because infants require 10 times as much folate as adults relative to body weight but have scant stores of folate in the newborn period.</w:t>
      </w:r>
    </w:p>
    <w:p w14:paraId="198FFABE" w14:textId="77777777" w:rsidR="00BD60D0" w:rsidRPr="00BD60D0" w:rsidRDefault="00BD60D0" w:rsidP="00BD60D0">
      <w:pPr>
        <w:rPr>
          <w:rFonts w:ascii="Times New Roman" w:hAnsi="Times New Roman" w:cs="Times New Roman"/>
          <w:sz w:val="28"/>
          <w:szCs w:val="28"/>
          <w:lang w:val="en-US"/>
        </w:rPr>
      </w:pPr>
    </w:p>
    <w:p w14:paraId="43931AD2"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Folate is particularly heat labile. Heat-sterilizing home-prepared formula can decrease the folate content by half. Evaporated milk and goat's milk are low in folate. Patients with chronic hemolysis (sickle cell anemia, thalassemia) may require extra folate to avoid deficiency because of the relatively high requirement of the vitamin to support erythropoiesis. Other conditions with risk of deficiency include pregnancy, alcoholism, and treatment with anticonvulsants (phenytoin) or antimetabolites (methotrexate). </w:t>
      </w:r>
    </w:p>
    <w:p w14:paraId="7D78D549" w14:textId="77777777" w:rsidR="00BD60D0" w:rsidRPr="00BD60D0" w:rsidRDefault="00BD60D0" w:rsidP="00BD60D0">
      <w:pPr>
        <w:rPr>
          <w:rFonts w:ascii="Times New Roman" w:hAnsi="Times New Roman" w:cs="Times New Roman"/>
          <w:sz w:val="28"/>
          <w:szCs w:val="28"/>
          <w:lang w:val="en-US"/>
        </w:rPr>
      </w:pPr>
    </w:p>
    <w:p w14:paraId="506B9035" w14:textId="210EA0D3"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First occurrence and recurrence of neural tube defects are reduced significantly by maternal supplementation during embryogenesis. Because closure of the neural tube occurs before usual recognition of pregnancy, all women of </w:t>
      </w:r>
      <w:r w:rsidRPr="00BD60D0">
        <w:rPr>
          <w:rFonts w:ascii="Times New Roman" w:hAnsi="Times New Roman" w:cs="Times New Roman"/>
          <w:sz w:val="28"/>
          <w:szCs w:val="28"/>
          <w:lang w:val="en-US"/>
        </w:rPr>
        <w:lastRenderedPageBreak/>
        <w:t xml:space="preserve">reproductive age are recommended to have a folate intake of at least 400 </w:t>
      </w:r>
      <w:proofErr w:type="spellStart"/>
      <w:r w:rsidRPr="00BD60D0">
        <w:rPr>
          <w:rFonts w:ascii="Times New Roman" w:hAnsi="Times New Roman" w:cs="Times New Roman"/>
          <w:sz w:val="28"/>
          <w:szCs w:val="28"/>
          <w:lang w:val="en-US"/>
        </w:rPr>
        <w:t>μg</w:t>
      </w:r>
      <w:proofErr w:type="spellEnd"/>
      <w:r w:rsidRPr="00BD60D0">
        <w:rPr>
          <w:rFonts w:ascii="Times New Roman" w:hAnsi="Times New Roman" w:cs="Times New Roman"/>
          <w:sz w:val="28"/>
          <w:szCs w:val="28"/>
          <w:lang w:val="en-US"/>
        </w:rPr>
        <w:t>/day as prophylaxis.</w:t>
      </w:r>
    </w:p>
    <w:p w14:paraId="493C768C" w14:textId="2F9CC608" w:rsidR="00BD60D0" w:rsidRPr="00BD60D0" w:rsidRDefault="00BD60D0" w:rsidP="00BD60D0">
      <w:pPr>
        <w:rPr>
          <w:rFonts w:ascii="Times New Roman" w:hAnsi="Times New Roman" w:cs="Times New Roman"/>
          <w:sz w:val="28"/>
          <w:szCs w:val="28"/>
          <w:lang w:val="en-US"/>
        </w:rPr>
      </w:pPr>
    </w:p>
    <w:p w14:paraId="2C65ED56" w14:textId="293A9394" w:rsidR="00BD60D0" w:rsidRPr="00F60636" w:rsidRDefault="00BD60D0" w:rsidP="00BD60D0">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Vitamin B12</w:t>
      </w:r>
    </w:p>
    <w:p w14:paraId="5F0B02EA" w14:textId="1D3F1E4A"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Vitamin B12 deficiency in children is </w:t>
      </w:r>
      <w:proofErr w:type="spellStart"/>
      <w:proofErr w:type="gramStart"/>
      <w:r w:rsidRPr="00BD60D0">
        <w:rPr>
          <w:rFonts w:ascii="Times New Roman" w:hAnsi="Times New Roman" w:cs="Times New Roman"/>
          <w:sz w:val="28"/>
          <w:szCs w:val="28"/>
          <w:lang w:val="en-US"/>
        </w:rPr>
        <w:t>rare.Early</w:t>
      </w:r>
      <w:proofErr w:type="spellEnd"/>
      <w:proofErr w:type="gramEnd"/>
      <w:r w:rsidRPr="00BD60D0">
        <w:rPr>
          <w:rFonts w:ascii="Times New Roman" w:hAnsi="Times New Roman" w:cs="Times New Roman"/>
          <w:sz w:val="28"/>
          <w:szCs w:val="28"/>
          <w:lang w:val="en-US"/>
        </w:rPr>
        <w:t xml:space="preserve"> diagnosis and treatment of this disorder in childhood are important because of the danger of irreversible neurologic damage. </w:t>
      </w:r>
    </w:p>
    <w:p w14:paraId="447BB748" w14:textId="77777777" w:rsidR="00BD60D0" w:rsidRPr="00BD60D0" w:rsidRDefault="00BD60D0" w:rsidP="00BD60D0">
      <w:pPr>
        <w:rPr>
          <w:rFonts w:ascii="Times New Roman" w:hAnsi="Times New Roman" w:cs="Times New Roman"/>
          <w:sz w:val="28"/>
          <w:szCs w:val="28"/>
          <w:lang w:val="en-US"/>
        </w:rPr>
      </w:pPr>
    </w:p>
    <w:p w14:paraId="59331627"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Most cases in childhood result from a specific defect in absorption Such defects include congenital pernicious anemia (absent intrinsic factor), juvenile pernicious anemia (autoimmune), and deficiency of transcobalamin II transport. Gastric or intestinal resection and small bowel bacterial overgrowth also cause vitamin B12 deficiency. </w:t>
      </w:r>
    </w:p>
    <w:p w14:paraId="17E5BD92"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Exclusively breast fed infants ingest adequate vitamin B12 unless the mother is a </w:t>
      </w:r>
      <w:proofErr w:type="gramStart"/>
      <w:r w:rsidRPr="00BD60D0">
        <w:rPr>
          <w:rFonts w:ascii="Times New Roman" w:hAnsi="Times New Roman" w:cs="Times New Roman"/>
          <w:sz w:val="28"/>
          <w:szCs w:val="28"/>
          <w:lang w:val="en-US"/>
        </w:rPr>
        <w:t>strict  vegetarian</w:t>
      </w:r>
      <w:proofErr w:type="gramEnd"/>
      <w:r w:rsidRPr="00BD60D0">
        <w:rPr>
          <w:rFonts w:ascii="Times New Roman" w:hAnsi="Times New Roman" w:cs="Times New Roman"/>
          <w:sz w:val="28"/>
          <w:szCs w:val="28"/>
          <w:lang w:val="en-US"/>
        </w:rPr>
        <w:t xml:space="preserve"> without supplementation.</w:t>
      </w:r>
      <w:r w:rsidRPr="00BD60D0">
        <w:rPr>
          <w:rFonts w:ascii="Times New Roman" w:eastAsia="MS Gothic" w:hAnsi="Times New Roman" w:cs="Times New Roman"/>
          <w:sz w:val="28"/>
          <w:szCs w:val="28"/>
          <w:lang w:val="en-US"/>
        </w:rPr>
        <w:t> </w:t>
      </w:r>
      <w:r w:rsidRPr="00BD60D0">
        <w:rPr>
          <w:rFonts w:ascii="Times New Roman" w:hAnsi="Times New Roman" w:cs="Times New Roman"/>
          <w:sz w:val="28"/>
          <w:szCs w:val="28"/>
          <w:lang w:val="en-US"/>
        </w:rPr>
        <w:t xml:space="preserve">Depression of serum vitamin B12 and the appearance of </w:t>
      </w:r>
      <w:proofErr w:type="spellStart"/>
      <w:proofErr w:type="gramStart"/>
      <w:r w:rsidRPr="00BD60D0">
        <w:rPr>
          <w:rFonts w:ascii="Times New Roman" w:hAnsi="Times New Roman" w:cs="Times New Roman"/>
          <w:sz w:val="28"/>
          <w:szCs w:val="28"/>
          <w:lang w:val="en-US"/>
        </w:rPr>
        <w:t>hypersegmented</w:t>
      </w:r>
      <w:proofErr w:type="spellEnd"/>
      <w:r w:rsidRPr="00BD60D0">
        <w:rPr>
          <w:rFonts w:ascii="Times New Roman" w:hAnsi="Times New Roman" w:cs="Times New Roman"/>
          <w:sz w:val="28"/>
          <w:szCs w:val="28"/>
          <w:lang w:val="en-US"/>
        </w:rPr>
        <w:t xml:space="preserve">  neutrophils</w:t>
      </w:r>
      <w:proofErr w:type="gramEnd"/>
      <w:r w:rsidRPr="00BD60D0">
        <w:rPr>
          <w:rFonts w:ascii="Times New Roman" w:hAnsi="Times New Roman" w:cs="Times New Roman"/>
          <w:sz w:val="28"/>
          <w:szCs w:val="28"/>
          <w:lang w:val="en-US"/>
        </w:rPr>
        <w:t xml:space="preserve"> and macrocytosis (indistinguishable from folate deficiency) are early clinical manifestations of deficiency. </w:t>
      </w:r>
    </w:p>
    <w:p w14:paraId="63A656FD" w14:textId="77777777" w:rsidR="00BD60D0" w:rsidRPr="00BD60D0" w:rsidRDefault="00BD60D0" w:rsidP="00BD60D0">
      <w:pPr>
        <w:rPr>
          <w:rFonts w:ascii="Times New Roman" w:hAnsi="Times New Roman" w:cs="Times New Roman"/>
          <w:sz w:val="28"/>
          <w:szCs w:val="28"/>
          <w:lang w:val="en-US"/>
        </w:rPr>
      </w:pPr>
    </w:p>
    <w:p w14:paraId="3DC5F057"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Vitamin B12 deficiency also </w:t>
      </w:r>
      <w:proofErr w:type="gramStart"/>
      <w:r w:rsidRPr="00BD60D0">
        <w:rPr>
          <w:rFonts w:ascii="Times New Roman" w:hAnsi="Times New Roman" w:cs="Times New Roman"/>
          <w:sz w:val="28"/>
          <w:szCs w:val="28"/>
          <w:lang w:val="en-US"/>
        </w:rPr>
        <w:t>causes  neurologic</w:t>
      </w:r>
      <w:proofErr w:type="gramEnd"/>
      <w:r w:rsidRPr="00BD60D0">
        <w:rPr>
          <w:rFonts w:ascii="Times New Roman" w:hAnsi="Times New Roman" w:cs="Times New Roman"/>
          <w:sz w:val="28"/>
          <w:szCs w:val="28"/>
          <w:lang w:val="en-US"/>
        </w:rPr>
        <w:t xml:space="preserve"> manifestations, including depression, peripheral neuropathy, posterior spinal column signs, dementia, and eventual coma. The neurologic signs do not occur in folate deficiency, but administration of folate may mask the hematologic signs of vitamin B12 deficiency, while the neurologic </w:t>
      </w:r>
      <w:proofErr w:type="gramStart"/>
      <w:r w:rsidRPr="00BD60D0">
        <w:rPr>
          <w:rFonts w:ascii="Times New Roman" w:hAnsi="Times New Roman" w:cs="Times New Roman"/>
          <w:sz w:val="28"/>
          <w:szCs w:val="28"/>
          <w:lang w:val="en-US"/>
        </w:rPr>
        <w:t>manifestations  progress</w:t>
      </w:r>
      <w:proofErr w:type="gramEnd"/>
      <w:r w:rsidRPr="00BD60D0">
        <w:rPr>
          <w:rFonts w:ascii="Times New Roman" w:hAnsi="Times New Roman" w:cs="Times New Roman"/>
          <w:sz w:val="28"/>
          <w:szCs w:val="28"/>
          <w:lang w:val="en-US"/>
        </w:rPr>
        <w:t xml:space="preserve">. Patients with vitamin B12 deficiency also have increased urine levels of methylmalonic acid. </w:t>
      </w:r>
    </w:p>
    <w:p w14:paraId="6DA21431" w14:textId="77777777" w:rsidR="00BD60D0" w:rsidRPr="00BD60D0" w:rsidRDefault="00BD60D0" w:rsidP="00BD60D0">
      <w:pPr>
        <w:rPr>
          <w:rFonts w:ascii="Times New Roman" w:hAnsi="Times New Roman" w:cs="Times New Roman"/>
          <w:sz w:val="28"/>
          <w:szCs w:val="28"/>
          <w:lang w:val="en-US"/>
        </w:rPr>
      </w:pPr>
    </w:p>
    <w:p w14:paraId="473C5940" w14:textId="1979CEEF"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Most cases of vitamin B12 deficiency in infants and </w:t>
      </w:r>
      <w:proofErr w:type="gramStart"/>
      <w:r w:rsidRPr="00BD60D0">
        <w:rPr>
          <w:rFonts w:ascii="Times New Roman" w:hAnsi="Times New Roman" w:cs="Times New Roman"/>
          <w:sz w:val="28"/>
          <w:szCs w:val="28"/>
          <w:lang w:val="en-US"/>
        </w:rPr>
        <w:t>children  are</w:t>
      </w:r>
      <w:proofErr w:type="gramEnd"/>
      <w:r w:rsidRPr="00BD60D0">
        <w:rPr>
          <w:rFonts w:ascii="Times New Roman" w:hAnsi="Times New Roman" w:cs="Times New Roman"/>
          <w:sz w:val="28"/>
          <w:szCs w:val="28"/>
          <w:lang w:val="en-US"/>
        </w:rPr>
        <w:t xml:space="preserve"> not of dietary origin and require treatment throughout life. Maintenance therapy consists of repeated monthly intramuscular injections, although a form of vitamin B12 is administered intranasally.</w:t>
      </w:r>
    </w:p>
    <w:p w14:paraId="71045653" w14:textId="4E70B480" w:rsidR="00BD60D0" w:rsidRPr="00BD60D0" w:rsidRDefault="00BD60D0" w:rsidP="00BD60D0">
      <w:pPr>
        <w:rPr>
          <w:rFonts w:ascii="Times New Roman" w:hAnsi="Times New Roman" w:cs="Times New Roman"/>
          <w:sz w:val="28"/>
          <w:szCs w:val="28"/>
          <w:lang w:val="en-US"/>
        </w:rPr>
      </w:pPr>
    </w:p>
    <w:p w14:paraId="54C96033" w14:textId="30D0CEB5" w:rsidR="00BD60D0" w:rsidRPr="00BD60D0" w:rsidRDefault="00BD60D0" w:rsidP="00BD60D0">
      <w:pPr>
        <w:rPr>
          <w:rFonts w:ascii="Times New Roman" w:hAnsi="Times New Roman" w:cs="Times New Roman"/>
          <w:b/>
          <w:bCs/>
          <w:sz w:val="28"/>
          <w:szCs w:val="28"/>
          <w:lang w:val="en-US"/>
        </w:rPr>
      </w:pPr>
      <w:r w:rsidRPr="00BD60D0">
        <w:rPr>
          <w:rFonts w:ascii="Times New Roman" w:hAnsi="Times New Roman" w:cs="Times New Roman"/>
          <w:b/>
          <w:bCs/>
          <w:sz w:val="28"/>
          <w:szCs w:val="28"/>
          <w:lang w:val="en-US"/>
        </w:rPr>
        <w:t>Fat-Soluble Vitamins</w:t>
      </w:r>
    </w:p>
    <w:p w14:paraId="300994A2"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Fat-soluble vitamins generally have stores in the body, and dietary deficiencies generally develop more slowly than for water-soluble vitamins. </w:t>
      </w:r>
    </w:p>
    <w:p w14:paraId="7A97D57A" w14:textId="77777777" w:rsidR="00BD60D0" w:rsidRPr="00BD60D0" w:rsidRDefault="00BD60D0" w:rsidP="00BD60D0">
      <w:pPr>
        <w:rPr>
          <w:rFonts w:ascii="Times New Roman" w:hAnsi="Times New Roman" w:cs="Times New Roman"/>
          <w:sz w:val="28"/>
          <w:szCs w:val="28"/>
          <w:lang w:val="en-US"/>
        </w:rPr>
      </w:pPr>
    </w:p>
    <w:p w14:paraId="5596B3B8" w14:textId="5E26D11E"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Absorption of fat-soluble vitamins depends on normal fat intake, digestion, and absorption. The complexity of normal fat absorption and the potential for perturbation in many disease states explains the more common occurrence of deficiencies of these vitamins.</w:t>
      </w:r>
    </w:p>
    <w:p w14:paraId="123141C5" w14:textId="06B4DC31" w:rsidR="00BD60D0" w:rsidRPr="00BD60D0" w:rsidRDefault="00BD60D0" w:rsidP="00BD60D0">
      <w:pPr>
        <w:rPr>
          <w:rFonts w:ascii="Times New Roman" w:hAnsi="Times New Roman" w:cs="Times New Roman"/>
          <w:sz w:val="28"/>
          <w:szCs w:val="28"/>
          <w:lang w:val="en-US"/>
        </w:rPr>
      </w:pPr>
    </w:p>
    <w:p w14:paraId="636FEB10" w14:textId="25C16BFD" w:rsidR="00BD60D0" w:rsidRPr="00F60636" w:rsidRDefault="00BD60D0" w:rsidP="00BD60D0">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Vitamin A</w:t>
      </w:r>
    </w:p>
    <w:p w14:paraId="2F27EB12"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The clinical manifestations of vitamin A deficiency in humans appear as a group of ocular signs termed xerophthalmia. </w:t>
      </w:r>
    </w:p>
    <w:p w14:paraId="2971D700" w14:textId="77777777" w:rsidR="00BD60D0" w:rsidRPr="00BD60D0" w:rsidRDefault="00BD60D0" w:rsidP="00BD60D0">
      <w:pPr>
        <w:rPr>
          <w:rFonts w:ascii="Times New Roman" w:hAnsi="Times New Roman" w:cs="Times New Roman"/>
          <w:sz w:val="28"/>
          <w:szCs w:val="28"/>
          <w:lang w:val="en-US"/>
        </w:rPr>
      </w:pPr>
    </w:p>
    <w:p w14:paraId="0F51DD17"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The earliest symptom is night blindness, which is followed by xerosis of the conjunctiva and cornea. Untreated, xerophthalmia can result in ulceration, necrosis, keratomalacia, and a permanent corneal scar. </w:t>
      </w:r>
    </w:p>
    <w:p w14:paraId="529B76C6" w14:textId="77777777" w:rsidR="00BD60D0" w:rsidRPr="00BD60D0" w:rsidRDefault="00BD60D0" w:rsidP="00BD60D0">
      <w:pPr>
        <w:rPr>
          <w:rFonts w:ascii="Times New Roman" w:hAnsi="Times New Roman" w:cs="Times New Roman"/>
          <w:sz w:val="28"/>
          <w:szCs w:val="28"/>
          <w:lang w:val="en-US"/>
        </w:rPr>
      </w:pPr>
    </w:p>
    <w:p w14:paraId="31286558"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Clinical and subclinical vitamin A deficiencies are associated with immunodeficiency; increased risk of infection, especially measles; and increased risk of mortality, especially in developing nations. Xerophthalmia and vitamin A deficiency should be urgently treated. </w:t>
      </w:r>
    </w:p>
    <w:p w14:paraId="75C4AB85" w14:textId="77777777" w:rsidR="00BD60D0" w:rsidRPr="00BD60D0" w:rsidRDefault="00BD60D0" w:rsidP="00BD60D0">
      <w:pPr>
        <w:rPr>
          <w:rFonts w:ascii="Times New Roman" w:hAnsi="Times New Roman" w:cs="Times New Roman"/>
          <w:sz w:val="28"/>
          <w:szCs w:val="28"/>
          <w:lang w:val="en-US"/>
        </w:rPr>
      </w:pPr>
    </w:p>
    <w:p w14:paraId="14F50342" w14:textId="77777777" w:rsidR="00BD60D0" w:rsidRPr="00BD60D0" w:rsidRDefault="00BD60D0" w:rsidP="00BD60D0">
      <w:pPr>
        <w:rPr>
          <w:rFonts w:ascii="Times New Roman" w:hAnsi="Times New Roman" w:cs="Times New Roman"/>
          <w:sz w:val="28"/>
          <w:szCs w:val="28"/>
          <w:lang w:val="en-US"/>
        </w:rPr>
      </w:pPr>
    </w:p>
    <w:p w14:paraId="08588502" w14:textId="60C97005"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Hypervitaminosis A also has serious sequelae, including headaches, pseudotumor cerebri, hepatotoxicity, and teratogenicity.</w:t>
      </w:r>
    </w:p>
    <w:p w14:paraId="2ADB4F34" w14:textId="357947EC" w:rsidR="00BD60D0" w:rsidRPr="00BD60D0" w:rsidRDefault="00BD60D0" w:rsidP="00BD60D0">
      <w:pPr>
        <w:rPr>
          <w:rFonts w:ascii="Times New Roman" w:hAnsi="Times New Roman" w:cs="Times New Roman"/>
          <w:sz w:val="28"/>
          <w:szCs w:val="28"/>
          <w:lang w:val="en-US"/>
        </w:rPr>
      </w:pPr>
    </w:p>
    <w:p w14:paraId="3F53046A" w14:textId="5CB93560" w:rsidR="00BD60D0" w:rsidRPr="00BD60D0" w:rsidRDefault="00BD60D0" w:rsidP="00BD60D0">
      <w:pPr>
        <w:rPr>
          <w:rFonts w:ascii="Times New Roman" w:hAnsi="Times New Roman" w:cs="Times New Roman"/>
          <w:sz w:val="28"/>
          <w:szCs w:val="28"/>
          <w:lang w:val="en-US"/>
        </w:rPr>
      </w:pPr>
    </w:p>
    <w:p w14:paraId="484182A9" w14:textId="6E0EFB52" w:rsidR="00BD60D0" w:rsidRPr="00F60636" w:rsidRDefault="00BD60D0" w:rsidP="00BD60D0">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Vitamin E</w:t>
      </w:r>
    </w:p>
    <w:p w14:paraId="32ACECDF"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Vitamin E deficiency occurs in children with fat malabsorption secondary to liver disease, untreated celiac disease, cystic fibrosis, and abetalipoproteinemia.</w:t>
      </w:r>
    </w:p>
    <w:p w14:paraId="2F0804C0" w14:textId="77777777" w:rsidR="00BD60D0" w:rsidRPr="00BD60D0" w:rsidRDefault="00BD60D0" w:rsidP="00BD60D0">
      <w:pPr>
        <w:rPr>
          <w:rFonts w:ascii="Times New Roman" w:hAnsi="Times New Roman" w:cs="Times New Roman"/>
          <w:sz w:val="28"/>
          <w:szCs w:val="28"/>
          <w:lang w:val="en-US"/>
        </w:rPr>
      </w:pPr>
    </w:p>
    <w:p w14:paraId="61AAF624"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In these children, without vitamin E supplementation, a syndrome of progressive sensory and motor neuropathy develops; the first sign of deficiency is loss of deep tendon reflexes. Deficient preterm infants at 1-2 months of age have hemolytic anemia characterized by an elevated reticulocyte count, an increased sensitivity of the erythrocytes to hemolysis in hydrogen peroxide, peripheral edema, and thrombocytosis. </w:t>
      </w:r>
    </w:p>
    <w:p w14:paraId="76B1AC59" w14:textId="77777777" w:rsidR="00BD60D0" w:rsidRPr="00BD60D0" w:rsidRDefault="00BD60D0" w:rsidP="00BD60D0">
      <w:pPr>
        <w:rPr>
          <w:rFonts w:ascii="Times New Roman" w:hAnsi="Times New Roman" w:cs="Times New Roman"/>
          <w:sz w:val="28"/>
          <w:szCs w:val="28"/>
          <w:lang w:val="en-US"/>
        </w:rPr>
      </w:pPr>
    </w:p>
    <w:p w14:paraId="4FCC692E" w14:textId="0F2075DE"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All the abnormalities are corrected after oral, lipid, or water-soluble vitamin E therapy.</w:t>
      </w:r>
    </w:p>
    <w:p w14:paraId="6B566DF5" w14:textId="6DC54590" w:rsidR="00BD60D0" w:rsidRPr="00BD60D0" w:rsidRDefault="00BD60D0" w:rsidP="00BD60D0">
      <w:pPr>
        <w:rPr>
          <w:rFonts w:ascii="Times New Roman" w:hAnsi="Times New Roman" w:cs="Times New Roman"/>
          <w:sz w:val="28"/>
          <w:szCs w:val="28"/>
          <w:lang w:val="en-US"/>
        </w:rPr>
      </w:pPr>
    </w:p>
    <w:p w14:paraId="440AA55D" w14:textId="265071EA" w:rsidR="00BD60D0" w:rsidRPr="00F60636" w:rsidRDefault="00BD60D0" w:rsidP="00BD60D0">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Vitamin K</w:t>
      </w:r>
    </w:p>
    <w:p w14:paraId="772EF479" w14:textId="0C819CDC"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Hemorrhagic disease of the newborn, a disease more common among breast fed infants, occurs in the first few weeks of life. It is rare in infants who receive prophylactic intramuscular vitamin K on the first day of life. Hemorrhagic disease of the newborn usually is marked by generalized ecchymoses, gastrointestinal hemorrhage, or bleeding from a circumcision or umbilical stump; intracranial hemorrhage can occur, but is uncommon. The American Academy of Pediatrics recommends that parenteral vitamin K (0.5-1 mg) be given to all newborns shortly after birth.</w:t>
      </w:r>
    </w:p>
    <w:p w14:paraId="636B5692" w14:textId="27E51727" w:rsidR="00BD60D0" w:rsidRPr="00BD60D0" w:rsidRDefault="00BD60D0" w:rsidP="00BD60D0">
      <w:pPr>
        <w:rPr>
          <w:rFonts w:ascii="Times New Roman" w:hAnsi="Times New Roman" w:cs="Times New Roman"/>
          <w:sz w:val="28"/>
          <w:szCs w:val="28"/>
          <w:lang w:val="en-US"/>
        </w:rPr>
      </w:pPr>
    </w:p>
    <w:p w14:paraId="1AB5ED2A" w14:textId="50582E5C" w:rsidR="00BD60D0" w:rsidRPr="00BD60D0" w:rsidRDefault="00BD60D0" w:rsidP="00BD60D0">
      <w:pPr>
        <w:rPr>
          <w:rFonts w:ascii="Times New Roman" w:hAnsi="Times New Roman" w:cs="Times New Roman"/>
          <w:sz w:val="28"/>
          <w:szCs w:val="28"/>
          <w:lang w:val="en-US"/>
        </w:rPr>
      </w:pPr>
    </w:p>
    <w:p w14:paraId="61F771E9" w14:textId="4B6C7BFA" w:rsidR="00BD60D0" w:rsidRPr="00F60636" w:rsidRDefault="00BD60D0" w:rsidP="00BD60D0">
      <w:pPr>
        <w:rPr>
          <w:rFonts w:ascii="Times New Roman" w:hAnsi="Times New Roman" w:cs="Times New Roman"/>
          <w:b/>
          <w:bCs/>
          <w:sz w:val="28"/>
          <w:szCs w:val="28"/>
          <w:lang w:val="en-US"/>
        </w:rPr>
      </w:pPr>
      <w:r w:rsidRPr="00F60636">
        <w:rPr>
          <w:rFonts w:ascii="Times New Roman" w:hAnsi="Times New Roman" w:cs="Times New Roman"/>
          <w:b/>
          <w:bCs/>
          <w:sz w:val="28"/>
          <w:szCs w:val="28"/>
          <w:lang w:val="en-US"/>
        </w:rPr>
        <w:t>Vitamin D</w:t>
      </w:r>
    </w:p>
    <w:p w14:paraId="23A842AE" w14:textId="77777777"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 xml:space="preserve">Vitamin D deficiency appears as rickets in children and as </w:t>
      </w:r>
      <w:proofErr w:type="spellStart"/>
      <w:r w:rsidRPr="00BD60D0">
        <w:rPr>
          <w:rFonts w:ascii="Times New Roman" w:hAnsi="Times New Roman" w:cs="Times New Roman"/>
          <w:sz w:val="28"/>
          <w:szCs w:val="28"/>
          <w:lang w:val="en-US"/>
        </w:rPr>
        <w:t>osteomalacia</w:t>
      </w:r>
      <w:proofErr w:type="spellEnd"/>
      <w:r w:rsidRPr="00BD60D0">
        <w:rPr>
          <w:rFonts w:ascii="Times New Roman" w:hAnsi="Times New Roman" w:cs="Times New Roman"/>
          <w:sz w:val="28"/>
          <w:szCs w:val="28"/>
          <w:lang w:val="en-US"/>
        </w:rPr>
        <w:t xml:space="preserve"> in </w:t>
      </w:r>
      <w:proofErr w:type="spellStart"/>
      <w:r w:rsidRPr="00BD60D0">
        <w:rPr>
          <w:rFonts w:ascii="Times New Roman" w:hAnsi="Times New Roman" w:cs="Times New Roman"/>
          <w:sz w:val="28"/>
          <w:szCs w:val="28"/>
          <w:lang w:val="en-US"/>
        </w:rPr>
        <w:t>postpubertal</w:t>
      </w:r>
      <w:proofErr w:type="spellEnd"/>
      <w:r w:rsidRPr="00BD60D0">
        <w:rPr>
          <w:rFonts w:ascii="Times New Roman" w:hAnsi="Times New Roman" w:cs="Times New Roman"/>
          <w:sz w:val="28"/>
          <w:szCs w:val="28"/>
          <w:lang w:val="en-US"/>
        </w:rPr>
        <w:t xml:space="preserve"> adolescents.</w:t>
      </w:r>
    </w:p>
    <w:p w14:paraId="0912C6E9" w14:textId="77777777" w:rsidR="00BD60D0" w:rsidRPr="00BD60D0" w:rsidRDefault="00BD60D0" w:rsidP="00BD60D0">
      <w:pPr>
        <w:rPr>
          <w:rFonts w:ascii="Times New Roman" w:hAnsi="Times New Roman" w:cs="Times New Roman"/>
          <w:sz w:val="28"/>
          <w:szCs w:val="28"/>
          <w:lang w:val="en-US"/>
        </w:rPr>
      </w:pPr>
    </w:p>
    <w:p w14:paraId="1BDD0CC6" w14:textId="41F41BFD"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sz w:val="28"/>
          <w:szCs w:val="28"/>
          <w:lang w:val="en-US"/>
        </w:rPr>
        <w:t>Inadequate direct sun exposure and vitamin D intake are sufficient causes, but other factors, such as various drugs (phenobarbital, phenytoin) and malabsorption, may increase the risk of development of vitamin- deficiency rickets. Breast fed infants, especially those with dark-pigmented skin, are at risk for vitamin D deficiency.</w:t>
      </w:r>
    </w:p>
    <w:p w14:paraId="4CE27FDE" w14:textId="28504204" w:rsidR="00BD60D0" w:rsidRPr="00BD60D0" w:rsidRDefault="00BD60D0" w:rsidP="00BD60D0">
      <w:pPr>
        <w:rPr>
          <w:rFonts w:ascii="Times New Roman" w:hAnsi="Times New Roman" w:cs="Times New Roman"/>
          <w:sz w:val="28"/>
          <w:szCs w:val="28"/>
          <w:lang w:val="en-US"/>
        </w:rPr>
      </w:pPr>
    </w:p>
    <w:p w14:paraId="2A01492E" w14:textId="0E612642" w:rsidR="00BD60D0" w:rsidRPr="00BD60D0" w:rsidRDefault="00BD60D0" w:rsidP="00BD60D0">
      <w:pPr>
        <w:rPr>
          <w:rFonts w:ascii="Times New Roman" w:hAnsi="Times New Roman" w:cs="Times New Roman"/>
          <w:sz w:val="28"/>
          <w:szCs w:val="28"/>
          <w:lang w:val="en-US"/>
        </w:rPr>
      </w:pPr>
    </w:p>
    <w:p w14:paraId="40055C76" w14:textId="1CF1E545" w:rsidR="00BD60D0" w:rsidRPr="00BD60D0" w:rsidRDefault="00BD60D0" w:rsidP="00BD60D0">
      <w:pPr>
        <w:rPr>
          <w:rFonts w:ascii="Times New Roman" w:hAnsi="Times New Roman" w:cs="Times New Roman"/>
          <w:sz w:val="28"/>
          <w:szCs w:val="28"/>
          <w:lang w:val="en-US"/>
        </w:rPr>
      </w:pPr>
      <w:r w:rsidRPr="00BD60D0">
        <w:rPr>
          <w:rFonts w:ascii="Times New Roman" w:hAnsi="Times New Roman" w:cs="Times New Roman"/>
          <w:noProof/>
          <w:sz w:val="28"/>
          <w:szCs w:val="28"/>
          <w:lang w:val="en-US"/>
        </w:rPr>
        <w:lastRenderedPageBreak/>
        <w:drawing>
          <wp:inline distT="0" distB="0" distL="0" distR="0" wp14:anchorId="06F54AAE" wp14:editId="63FCB73B">
            <wp:extent cx="6255385" cy="921842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3144" cy="9318283"/>
                    </a:xfrm>
                    <a:prstGeom prst="rect">
                      <a:avLst/>
                    </a:prstGeom>
                  </pic:spPr>
                </pic:pic>
              </a:graphicData>
            </a:graphic>
          </wp:inline>
        </w:drawing>
      </w:r>
    </w:p>
    <w:sectPr w:rsidR="00BD60D0" w:rsidRPr="00BD60D0" w:rsidSect="00B56E9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FC7"/>
    <w:rsid w:val="00203CA5"/>
    <w:rsid w:val="00323C10"/>
    <w:rsid w:val="005D0FC7"/>
    <w:rsid w:val="00700D1D"/>
    <w:rsid w:val="00B56E94"/>
    <w:rsid w:val="00BD60D0"/>
    <w:rsid w:val="00F60636"/>
    <w:rsid w:val="00F847B8"/>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2D4FF514"/>
  <w15:chartTrackingRefBased/>
  <w15:docId w15:val="{C8E3D21C-AFFF-B345-A7C4-DABB8F0A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Q"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customXml" Target="ink/ink1.xml"/><Relationship Id="rId9"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0T11:35:56.513"/>
    </inkml:context>
    <inkml:brush xml:id="br0">
      <inkml:brushProperty name="width" value="0.05" units="cm"/>
      <inkml:brushProperty name="height" value="0.05" units="cm"/>
      <inkml:brushProperty name="color" value="#E71224"/>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2461</Words>
  <Characters>14030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2021-11-10T11:05:00Z</dcterms:created>
  <dcterms:modified xsi:type="dcterms:W3CDTF">2021-11-10T11:58:00Z</dcterms:modified>
</cp:coreProperties>
</file>