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312" w:rsidRDefault="000A62C0" w:rsidP="000A62C0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Lec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5                                 Immunological Techniques</w:t>
      </w:r>
    </w:p>
    <w:p w:rsidR="000A62C0" w:rsidRDefault="000A62C0" w:rsidP="000A62C0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Prof.Dr.Ekhlass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Noori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Ali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Flow </w:t>
      </w:r>
      <w:proofErr w:type="spellStart"/>
      <w:r w:rsidRPr="005C7401">
        <w:rPr>
          <w:rFonts w:asciiTheme="majorBidi" w:hAnsiTheme="majorBidi" w:cstheme="majorBidi"/>
          <w:b/>
          <w:bCs/>
          <w:sz w:val="28"/>
          <w:szCs w:val="28"/>
        </w:rPr>
        <w:t>Cytometry</w:t>
      </w:r>
      <w:proofErr w:type="spellEnd"/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Flow </w:t>
      </w:r>
      <w:proofErr w:type="spellStart"/>
      <w:r w:rsidRPr="005C7401">
        <w:rPr>
          <w:rFonts w:asciiTheme="majorBidi" w:hAnsiTheme="majorBidi" w:cstheme="majorBidi"/>
          <w:b/>
          <w:bCs/>
          <w:sz w:val="28"/>
          <w:szCs w:val="28"/>
        </w:rPr>
        <w:t>cytometry</w:t>
      </w:r>
      <w:proofErr w:type="spellEnd"/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is a system in which single cells (or beads) in a fluid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suspension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are analyzed in terms of their intrinsic light-scattering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characteristics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. The cells are simultaneously evaluated for their extrinsic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properties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(i.e., the presence of specific surface or cytoplasmic proteins)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using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fluorescent-labeled antibodies or probes. Flow cytometers, originally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developed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in the 1960s, did not make their way into the clinical laboratory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until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early 1980s. At that point, physicians started seeing patients with a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new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mysterious disease characterized by a decrease in circulating T helper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Th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>) cells.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Since that time, flow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has been routinely used for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monitoring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HIV infection status, as well as </w:t>
      </w:r>
      <w:proofErr w:type="spellStart"/>
      <w:r w:rsidRPr="005C7401">
        <w:rPr>
          <w:rFonts w:asciiTheme="majorBidi" w:hAnsiTheme="majorBidi" w:cstheme="majorBidi"/>
          <w:b/>
          <w:bCs/>
          <w:sz w:val="28"/>
          <w:szCs w:val="28"/>
        </w:rPr>
        <w:t>immunophenotyping</w:t>
      </w:r>
      <w:proofErr w:type="spellEnd"/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cells, or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identifying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their surface and cytoplasmic antigen expression.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Flow cytometers can simultaneously measure multiple cellular or bead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properties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by using several different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. A </w:t>
      </w:r>
      <w:proofErr w:type="spellStart"/>
      <w:r w:rsidRPr="005C7401">
        <w:rPr>
          <w:rFonts w:asciiTheme="majorBidi" w:hAnsiTheme="majorBidi" w:cstheme="majorBidi"/>
          <w:b/>
          <w:bCs/>
          <w:sz w:val="28"/>
          <w:szCs w:val="28"/>
        </w:rPr>
        <w:t>fluorochrome</w:t>
      </w:r>
      <w:proofErr w:type="spellEnd"/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5C7401">
        <w:rPr>
          <w:rFonts w:asciiTheme="majorBidi" w:hAnsiTheme="majorBidi" w:cstheme="majorBidi"/>
          <w:sz w:val="28"/>
          <w:szCs w:val="28"/>
        </w:rPr>
        <w:t>or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fluorescent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molecule, is one that absorbs light across a spectrum of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wavelengths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and emits light of lower energy across a spectrum of longer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wavelengths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. Each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has a distinctive spectral pattern of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absorption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(excitation) and emission. By using laser light, different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populations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of cells or particles can be analyzed and identified on the basis of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their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size, shape, and antigenic properties.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 xml:space="preserve">Flow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is frequently used in leukemia and lymphoma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characterizations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as well as in the identification of immunodeficiency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diseases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such as AIDS </w:t>
      </w:r>
      <w:r w:rsidR="005C7401">
        <w:rPr>
          <w:rFonts w:asciiTheme="majorBidi" w:hAnsiTheme="majorBidi" w:cstheme="majorBidi"/>
          <w:sz w:val="28"/>
          <w:szCs w:val="28"/>
        </w:rPr>
        <w:t>.</w:t>
      </w:r>
      <w:r w:rsidRPr="005C7401">
        <w:rPr>
          <w:rFonts w:asciiTheme="majorBidi" w:hAnsiTheme="majorBidi" w:cstheme="majorBidi"/>
          <w:sz w:val="28"/>
          <w:szCs w:val="28"/>
        </w:rPr>
        <w:t xml:space="preserve"> Flow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is also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used to enumerate hematopoietic stem cells, detect human leukocyte antigen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(HLA) antibodies in transplantation, and identify cells undergoing apoptosis.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 xml:space="preserve">In addition, flow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has been applied in functional assays for chronic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granulomatous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disease (CGD) and leukocyte adhesion deficiency, fetal red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blood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cell (RBC) and F-cell identification in maternal blood, and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identification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of paroxysmal nocturnal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hemoglobinuria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(PNH), to give just a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few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examples. A significant advantage of flow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is that because the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flow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rate of cells within the cytometer is so rapid, thousands of events can be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analyzed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in seconds, allowing for the accurate detection of cells that are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lastRenderedPageBreak/>
        <w:t>present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in very small numbers.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>Instrumentation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The major components of a flow cytometer include the fluidics, the laser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light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source, and the optics and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photodetectors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>. Data analysis and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management are performed by computers.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>Fluidics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For cellular parameters to be accurately measured in the flow cytometer, it is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crucial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that cells pass through the laser light one cell at a time. Cells are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processed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into a suspension; the cytometer draws up the cell suspension and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injects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sample inside a carrier stream of isotonic saline (sheath fluid) to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form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 laminar flow. The sample stream is constrained by the carrier stream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is thus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hydrodynamically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focused so that the cells pass single file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through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intersection of the laser light source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(Fig. 1). </w:t>
      </w:r>
      <w:r w:rsidRPr="005C7401">
        <w:rPr>
          <w:rFonts w:asciiTheme="majorBidi" w:hAnsiTheme="majorBidi" w:cstheme="majorBidi"/>
          <w:sz w:val="28"/>
          <w:szCs w:val="28"/>
        </w:rPr>
        <w:t>Each time a cell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passes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in front of a laser beam, light is scattered, and the interruption of the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laser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signal is recorded.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>Laser Light Source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Solid-state diode lasers are typically used as light sources. The wavelength of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monochromatic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light emitted by a laser in turn dictates which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fluorochromes</w:t>
      </w:r>
      <w:proofErr w:type="spellEnd"/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can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be used in an assay. Not all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can be used with all lasers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because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each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has distinct spectral characteristics. Newer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instruments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have up to five lasers—red, blue, violet, ultraviolet (UV), and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yellow-green—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each of which produces different colors when exciting a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particular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. This allows for as many as 20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>, or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colors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, to be analyzed in a single tube at one time.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Because of a cell passing through the laser, light is scattered in many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directions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. The amount and type of light scatter (LS) can provide valuable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information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about a cell’s physical properties. Light at two specific angles is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measured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by the flow cytometer: (1)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forward scatter (FSC) </w:t>
      </w:r>
      <w:r w:rsidRPr="005C7401">
        <w:rPr>
          <w:rFonts w:asciiTheme="majorBidi" w:hAnsiTheme="majorBidi" w:cstheme="majorBidi"/>
          <w:sz w:val="28"/>
          <w:szCs w:val="28"/>
        </w:rPr>
        <w:t xml:space="preserve">and (2)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>side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b/>
          <w:bCs/>
          <w:sz w:val="28"/>
          <w:szCs w:val="28"/>
        </w:rPr>
        <w:t>scatter</w:t>
      </w:r>
      <w:proofErr w:type="gramEnd"/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 (SSC), </w:t>
      </w:r>
      <w:r w:rsidRPr="005C7401">
        <w:rPr>
          <w:rFonts w:asciiTheme="majorBidi" w:hAnsiTheme="majorBidi" w:cstheme="majorBidi"/>
          <w:sz w:val="28"/>
          <w:szCs w:val="28"/>
        </w:rPr>
        <w:t xml:space="preserve">also called </w:t>
      </w:r>
      <w:r w:rsidRPr="005C7401">
        <w:rPr>
          <w:rFonts w:asciiTheme="majorBidi" w:hAnsiTheme="majorBidi" w:cstheme="majorBidi"/>
          <w:i/>
          <w:iCs/>
          <w:sz w:val="28"/>
          <w:szCs w:val="28"/>
        </w:rPr>
        <w:t xml:space="preserve">right-angle </w:t>
      </w:r>
      <w:r w:rsidRPr="005C7401">
        <w:rPr>
          <w:rFonts w:asciiTheme="majorBidi" w:hAnsiTheme="majorBidi" w:cstheme="majorBidi"/>
          <w:sz w:val="28"/>
          <w:szCs w:val="28"/>
        </w:rPr>
        <w:t>LS. FSC is considered an indicator of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size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, whereas the SSC signal is indicative of granularity or the intracellular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complexity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of the cell. Thus, these two values can be used to characterize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different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cell types based on their inherent properties and are considered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b/>
          <w:bCs/>
          <w:sz w:val="28"/>
          <w:szCs w:val="28"/>
        </w:rPr>
        <w:t>intrinsic</w:t>
      </w:r>
      <w:proofErr w:type="gramEnd"/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 parameters. </w:t>
      </w:r>
      <w:r w:rsidRPr="005C7401">
        <w:rPr>
          <w:rFonts w:asciiTheme="majorBidi" w:hAnsiTheme="majorBidi" w:cstheme="majorBidi"/>
          <w:sz w:val="28"/>
          <w:szCs w:val="28"/>
        </w:rPr>
        <w:t>If one looks at a sample of whole blood on a flow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cytometer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where all the RBCs have been lysed, the three major populations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of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white blood cells (WBCs)—lymphocytes, monocytes, and neutrophils—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lastRenderedPageBreak/>
        <w:t>can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be roughly differentiated from each other based solely on their intrinsic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parameters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(FSC and SSC)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>(Fig. 2).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 xml:space="preserve">Unlike FSC and SSC, which represent light-scattering properties that </w:t>
      </w:r>
      <w:proofErr w:type="gramStart"/>
      <w:r w:rsidRPr="005C7401">
        <w:rPr>
          <w:rFonts w:asciiTheme="majorBidi" w:hAnsiTheme="majorBidi" w:cstheme="majorBidi"/>
          <w:sz w:val="28"/>
          <w:szCs w:val="28"/>
        </w:rPr>
        <w:t>are</w:t>
      </w:r>
      <w:proofErr w:type="gramEnd"/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intrinsic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to the cell,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extrinsic parameters </w:t>
      </w:r>
      <w:r w:rsidRPr="005C7401">
        <w:rPr>
          <w:rFonts w:asciiTheme="majorBidi" w:hAnsiTheme="majorBidi" w:cstheme="majorBidi"/>
          <w:sz w:val="28"/>
          <w:szCs w:val="28"/>
        </w:rPr>
        <w:t>require the addition of a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fluorescent probe for their detection. Fluorescent-labeled antibodies bound to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cell can be detected with the laser. By using fluorescent molecules with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various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emission wavelengths, laboratory scientists can simultaneously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evaluate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an individual cell for several extrinsic properties. The clinical utility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of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such multicolor analysis is enhanced when the fluorescent data are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analyzed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in conjunction with FSC and SSC to enable more accurate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subtyping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. The combination of data allows for characterization of cells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according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to size, granularity, DNA and RNA content, antigens, total protein,</w:t>
      </w:r>
    </w:p>
    <w:p w:rsidR="00285604" w:rsidRPr="005C7401" w:rsidRDefault="00285604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cell surface receptors.</w:t>
      </w:r>
    </w:p>
    <w:p w:rsidR="00CC5074" w:rsidRDefault="00D53A81" w:rsidP="00CC5074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5971540" cy="66309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6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74" w:rsidRDefault="00CC5074" w:rsidP="00CC5074">
      <w:pPr>
        <w:bidi w:val="0"/>
        <w:rPr>
          <w:rFonts w:ascii="TimesNewRomanPSMT" w:hAnsi="TimesNewRomanPSMT" w:cs="TimesNewRomanPSMT"/>
          <w:sz w:val="29"/>
          <w:szCs w:val="29"/>
        </w:rPr>
      </w:pPr>
    </w:p>
    <w:p w:rsidR="00CC5074" w:rsidRDefault="00CC5074" w:rsidP="005C7401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r>
        <w:rPr>
          <w:rFonts w:ascii="Arial-BoldMT" w:cs="Arial-BoldMT"/>
          <w:b/>
          <w:bCs/>
          <w:color w:val="006EAF"/>
        </w:rPr>
        <w:t xml:space="preserve">FIGURE 1 </w:t>
      </w:r>
      <w:r>
        <w:rPr>
          <w:rFonts w:ascii="ArialMT" w:cs="ArialMT"/>
          <w:color w:val="000000"/>
        </w:rPr>
        <w:t xml:space="preserve">Flow </w:t>
      </w:r>
      <w:proofErr w:type="spellStart"/>
      <w:r>
        <w:rPr>
          <w:rFonts w:ascii="ArialMT" w:cs="ArialMT"/>
          <w:color w:val="000000"/>
        </w:rPr>
        <w:t>cytometry</w:t>
      </w:r>
      <w:proofErr w:type="spellEnd"/>
      <w:r>
        <w:rPr>
          <w:rFonts w:ascii="ArialMT" w:cs="ArialMT"/>
          <w:color w:val="000000"/>
        </w:rPr>
        <w:t>. Components of a laser-based flow cytometer include the</w:t>
      </w:r>
    </w:p>
    <w:p w:rsidR="00CC5074" w:rsidRDefault="00CC5074" w:rsidP="00CC5074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proofErr w:type="gramStart"/>
      <w:r>
        <w:rPr>
          <w:rFonts w:ascii="ArialMT" w:cs="ArialMT"/>
          <w:color w:val="000000"/>
        </w:rPr>
        <w:t>fluidics</w:t>
      </w:r>
      <w:proofErr w:type="gramEnd"/>
      <w:r>
        <w:rPr>
          <w:rFonts w:ascii="ArialMT" w:cs="ArialMT"/>
          <w:color w:val="000000"/>
        </w:rPr>
        <w:t xml:space="preserve"> system for cell transportation, a laser for cell illumination, </w:t>
      </w:r>
      <w:proofErr w:type="spellStart"/>
      <w:r>
        <w:rPr>
          <w:rFonts w:ascii="ArialMT" w:cs="ArialMT"/>
          <w:color w:val="000000"/>
        </w:rPr>
        <w:t>photodetectors</w:t>
      </w:r>
      <w:proofErr w:type="spellEnd"/>
      <w:r>
        <w:rPr>
          <w:rFonts w:ascii="ArialMT" w:cs="ArialMT"/>
          <w:color w:val="000000"/>
        </w:rPr>
        <w:t xml:space="preserve"> for signal</w:t>
      </w:r>
    </w:p>
    <w:p w:rsidR="00CC5074" w:rsidRDefault="00CC5074" w:rsidP="00CC5074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proofErr w:type="gramStart"/>
      <w:r>
        <w:rPr>
          <w:rFonts w:ascii="ArialMT" w:cs="ArialMT"/>
          <w:color w:val="000000"/>
        </w:rPr>
        <w:t>detection</w:t>
      </w:r>
      <w:proofErr w:type="gramEnd"/>
      <w:r>
        <w:rPr>
          <w:rFonts w:ascii="ArialMT" w:cs="ArialMT"/>
          <w:color w:val="000000"/>
        </w:rPr>
        <w:t>, and a computer-based data management system. Both forward and 90-degree LS</w:t>
      </w:r>
    </w:p>
    <w:p w:rsidR="00D53A81" w:rsidRDefault="00CC5074" w:rsidP="00CC5074">
      <w:pPr>
        <w:bidi w:val="0"/>
        <w:rPr>
          <w:rFonts w:ascii="TimesNewRomanPSMT" w:hAnsi="TimesNewRomanPSMT" w:cs="TimesNewRomanPSMT"/>
          <w:sz w:val="29"/>
          <w:szCs w:val="29"/>
        </w:rPr>
      </w:pPr>
      <w:proofErr w:type="gramStart"/>
      <w:r>
        <w:rPr>
          <w:rFonts w:ascii="ArialMT" w:cs="ArialMT"/>
          <w:color w:val="000000"/>
        </w:rPr>
        <w:t>are</w:t>
      </w:r>
      <w:proofErr w:type="gramEnd"/>
      <w:r>
        <w:rPr>
          <w:rFonts w:ascii="ArialMT" w:cs="ArialMT"/>
          <w:color w:val="000000"/>
        </w:rPr>
        <w:t xml:space="preserve"> measured, indicating cell size and type.</w:t>
      </w:r>
    </w:p>
    <w:p w:rsidR="00817BAC" w:rsidRDefault="00817BAC" w:rsidP="00817BAC">
      <w:pPr>
        <w:bidi w:val="0"/>
        <w:rPr>
          <w:rFonts w:ascii="TimesNewRomanPSMT" w:hAnsi="TimesNewRomanPSMT" w:cs="TimesNewRomanPSMT"/>
          <w:sz w:val="29"/>
          <w:szCs w:val="29"/>
        </w:rPr>
      </w:pPr>
      <w:r>
        <w:rPr>
          <w:rFonts w:ascii="TimesNewRomanPSMT" w:hAnsi="TimesNewRomanPSMT" w:cs="TimesNewRomanPSMT"/>
          <w:noProof/>
          <w:sz w:val="29"/>
          <w:szCs w:val="29"/>
        </w:rPr>
        <w:lastRenderedPageBreak/>
        <w:drawing>
          <wp:inline distT="0" distB="0" distL="0" distR="0">
            <wp:extent cx="4220210" cy="278701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AC" w:rsidRDefault="00817BAC" w:rsidP="005C7401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r>
        <w:rPr>
          <w:rFonts w:ascii="Arial-BoldMT" w:cs="Arial-BoldMT"/>
          <w:b/>
          <w:bCs/>
          <w:color w:val="006EAF"/>
        </w:rPr>
        <w:t xml:space="preserve">FIGURE 2 </w:t>
      </w:r>
      <w:proofErr w:type="gramStart"/>
      <w:r>
        <w:rPr>
          <w:rFonts w:ascii="ArialMT" w:cs="ArialMT"/>
          <w:color w:val="000000"/>
        </w:rPr>
        <w:t>Peripheral blood leukocyte analysis</w:t>
      </w:r>
      <w:proofErr w:type="gramEnd"/>
      <w:r>
        <w:rPr>
          <w:rFonts w:ascii="ArialMT" w:cs="ArialMT"/>
          <w:color w:val="000000"/>
        </w:rPr>
        <w:t xml:space="preserve"> by simultaneous evaluation of forward light</w:t>
      </w:r>
    </w:p>
    <w:p w:rsidR="00817BAC" w:rsidRDefault="00817BAC" w:rsidP="00817BAC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proofErr w:type="gramStart"/>
      <w:r>
        <w:rPr>
          <w:rFonts w:ascii="ArialMT" w:cs="ArialMT"/>
          <w:color w:val="000000"/>
        </w:rPr>
        <w:t>scatter</w:t>
      </w:r>
      <w:proofErr w:type="gramEnd"/>
      <w:r>
        <w:rPr>
          <w:rFonts w:ascii="ArialMT" w:cs="ArialMT"/>
          <w:color w:val="000000"/>
        </w:rPr>
        <w:t xml:space="preserve"> (FSC) and 90-degree LS (SSC). Based on the intrinsic characteristics of size (FSC)</w:t>
      </w:r>
    </w:p>
    <w:p w:rsidR="00817BAC" w:rsidRDefault="00817BAC" w:rsidP="00817BAC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proofErr w:type="gramStart"/>
      <w:r>
        <w:rPr>
          <w:rFonts w:ascii="ArialMT" w:cs="ArialMT"/>
          <w:color w:val="000000"/>
        </w:rPr>
        <w:t>and</w:t>
      </w:r>
      <w:proofErr w:type="gramEnd"/>
      <w:r>
        <w:rPr>
          <w:rFonts w:ascii="ArialMT" w:cs="ArialMT"/>
          <w:color w:val="000000"/>
        </w:rPr>
        <w:t xml:space="preserve"> complexity/granularity (SSC), the three main populations of WBCs (lymphocytes,</w:t>
      </w:r>
    </w:p>
    <w:p w:rsidR="00817BAC" w:rsidRDefault="00817BAC" w:rsidP="00817BAC">
      <w:pPr>
        <w:bidi w:val="0"/>
        <w:rPr>
          <w:rFonts w:ascii="TimesNewRomanPSMT" w:hAnsi="TimesNewRomanPSMT" w:cs="TimesNewRomanPSMT"/>
          <w:sz w:val="29"/>
          <w:szCs w:val="29"/>
        </w:rPr>
      </w:pPr>
      <w:proofErr w:type="gramStart"/>
      <w:r>
        <w:rPr>
          <w:rFonts w:ascii="ArialMT" w:cs="ArialMT"/>
          <w:color w:val="000000"/>
        </w:rPr>
        <w:t>monocytes</w:t>
      </w:r>
      <w:proofErr w:type="gramEnd"/>
      <w:r>
        <w:rPr>
          <w:rFonts w:ascii="ArialMT" w:cs="ArialMT"/>
          <w:color w:val="000000"/>
        </w:rPr>
        <w:t>, and neutrophils) can be discriminated into individual populations</w:t>
      </w:r>
      <w:r>
        <w:rPr>
          <w:rFonts w:ascii="TimesNewRomanPSMT" w:hAnsi="TimesNewRomanPSMT" w:cs="TimesNewRomanPSMT"/>
          <w:sz w:val="29"/>
          <w:szCs w:val="29"/>
        </w:rPr>
        <w:t>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Optics and </w:t>
      </w:r>
      <w:proofErr w:type="spellStart"/>
      <w:r w:rsidRPr="005C7401">
        <w:rPr>
          <w:rFonts w:asciiTheme="majorBidi" w:hAnsiTheme="majorBidi" w:cstheme="majorBidi"/>
          <w:b/>
          <w:bCs/>
          <w:sz w:val="28"/>
          <w:szCs w:val="28"/>
        </w:rPr>
        <w:t>Photodetectors</w:t>
      </w:r>
      <w:proofErr w:type="spellEnd"/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The various signals (light scatter and fluorescence) generated by the cells’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interaction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with the laser are detected by photodiodes for FSC and by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photomultiplier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tubes for fluorescence. The number of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capable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of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being measured simultaneously depends upon the number of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photomultiplier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tubes in the flow cytometer. The specificity of each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photomultiplier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tube for a given band length of wavelengths is achieved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through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arrangement of a series of optical filters that are designed to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maximize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collection of light derived from a specific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while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minimizing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interference of light from other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>. The newer flow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cytometers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use fiber-optic cables to direct light to the detectors.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When fluorescence from labeled antibodies bound to cell surfaces reaches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photomultiplier tubes, it creates an electrical current that is converted into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voltage pulse. The voltage pulse is then converted into a digital signal using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various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methods, depending on the manufacturer. The digital signals are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proportional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to the intensity of light detected. The intensity of these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converted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signals is measured on a relative scale that is generally set into 1 to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256 channels, from the lowest energy level or pulse to the highest level.</w:t>
      </w:r>
      <w:proofErr w:type="gramEnd"/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>Sample Preparation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lastRenderedPageBreak/>
        <w:t>Samples commonly used for analysis include whole blood, bone marrow, and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fluid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aspirates. Whole blood should be collected into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5C7401">
        <w:rPr>
          <w:rFonts w:asciiTheme="majorBidi" w:hAnsiTheme="majorBidi" w:cstheme="majorBidi"/>
          <w:sz w:val="28"/>
          <w:szCs w:val="28"/>
        </w:rPr>
        <w:t>ethylenediaminetetraacetic</w:t>
      </w:r>
      <w:proofErr w:type="spellEnd"/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acid (EDTA), the anticoagulant of choice for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samples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processed within 30 hours of collection. Heparin can also be used for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whole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blood and bone marrow and can provide improved stability in samples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for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up to 48 hours. Blood should be stored at room temperature (20°C to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25°C) before processing and should be well mixed before being pipetted into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staining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tubes.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Hemolyzed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or clotted specimens should be rejected.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Peripheral blood, bone marrow, and other samples with large numbers of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RBCs require erythrocyte removal to allow for efficient analysis of WBCs.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 xml:space="preserve">Historically, density gradient centrifugation with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Ficoll-Hypaque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(Sigma, St.</w:t>
      </w:r>
      <w:proofErr w:type="gramEnd"/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Louis, MO) was used to generate a cell suspension enriched for lymphocytes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lymphoblasts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>. However, this method results in selective loss of some cell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populations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and is time-consuming. Density-gradient centrifugation has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mainly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been replaced by erythrocyte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lysis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 xml:space="preserve"> techniques, both commercial and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non-commercial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. Samples are treated with lysing buffers to destroy the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erythrocytes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while leaving the WBCs intact.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Tissue specimens such as lymph nodes should be collected and transported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tissue culture medium (RPMI 1640) at either room temperature (if analysis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imminent) or 4°C (if analysis will be delayed). The specimen is then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disaggregated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to form a single cell suspension, either by mechanical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dissociation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or enzymatic digestion. Mechanical disaggregation, or “teasing,”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preferred and is accomplished by the use of a scalpel and forceps, a needle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syringe, or a wire mesh screen. Antibodies are then added to the resulting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cellular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preparation and the samples are processed for analysis. The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antibodies used are typically monoclonal, each labeled with a different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fluorescent tag.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>Data Acquisition and Analysis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Once the intrinsic and extrinsic properties of the cells have been collected,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data are digitized and ready for analysis. Typically 10,000 to 20,000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“</w:t>
      </w:r>
      <w:proofErr w:type="gramStart"/>
      <w:r w:rsidRPr="005C7401">
        <w:rPr>
          <w:rFonts w:asciiTheme="majorBidi" w:hAnsiTheme="majorBidi" w:cstheme="majorBidi"/>
          <w:sz w:val="28"/>
          <w:szCs w:val="28"/>
        </w:rPr>
        <w:t>events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” are collected for each sample. Each parameter can be analyzed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independently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or in any combination. Graphics of the data can be represented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in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multiple ways. The first level of representation is the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>single-parameter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b/>
          <w:bCs/>
          <w:sz w:val="28"/>
          <w:szCs w:val="28"/>
        </w:rPr>
        <w:t>histogram</w:t>
      </w:r>
      <w:proofErr w:type="gramEnd"/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5C7401">
        <w:rPr>
          <w:rFonts w:asciiTheme="majorBidi" w:hAnsiTheme="majorBidi" w:cstheme="majorBidi"/>
          <w:sz w:val="28"/>
          <w:szCs w:val="28"/>
        </w:rPr>
        <w:t>which plots a chosen parameter (generally fluorescence) on the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x-axis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versus the number of events on the y-axis; thus, only a single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parameter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is analyzed using this type of graph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(Fig. 3). </w:t>
      </w:r>
      <w:r w:rsidRPr="005C7401">
        <w:rPr>
          <w:rFonts w:asciiTheme="majorBidi" w:hAnsiTheme="majorBidi" w:cstheme="majorBidi"/>
          <w:sz w:val="28"/>
          <w:szCs w:val="28"/>
        </w:rPr>
        <w:t>The operator can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lastRenderedPageBreak/>
        <w:t>then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set a marker to differentiate cells that have low levels of fluorescence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(</w:t>
      </w:r>
      <w:proofErr w:type="gramStart"/>
      <w:r w:rsidRPr="005C7401">
        <w:rPr>
          <w:rFonts w:asciiTheme="majorBidi" w:hAnsiTheme="majorBidi" w:cstheme="majorBidi"/>
          <w:sz w:val="28"/>
          <w:szCs w:val="28"/>
        </w:rPr>
        <w:t>negative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) from cells that have high levels of fluorescence (positive) for a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particular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C7401">
        <w:rPr>
          <w:rFonts w:asciiTheme="majorBidi" w:hAnsiTheme="majorBidi" w:cstheme="majorBidi"/>
          <w:sz w:val="28"/>
          <w:szCs w:val="28"/>
        </w:rPr>
        <w:t>fluorochrome</w:t>
      </w:r>
      <w:proofErr w:type="spellEnd"/>
      <w:r w:rsidRPr="005C7401">
        <w:rPr>
          <w:rFonts w:asciiTheme="majorBidi" w:hAnsiTheme="majorBidi" w:cstheme="majorBidi"/>
          <w:sz w:val="28"/>
          <w:szCs w:val="28"/>
        </w:rPr>
        <w:t>-labeled antibody. The computer will then calculate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percentage of “negative” and “positive” events from the total number of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events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collected.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 xml:space="preserve">The next level of representation is the bivariate histogram, or </w:t>
      </w:r>
      <w:proofErr w:type="spellStart"/>
      <w:r w:rsidRPr="005C7401">
        <w:rPr>
          <w:rFonts w:asciiTheme="majorBidi" w:hAnsiTheme="majorBidi" w:cstheme="majorBidi"/>
          <w:b/>
          <w:bCs/>
          <w:sz w:val="28"/>
          <w:szCs w:val="28"/>
        </w:rPr>
        <w:t>dualparameter</w:t>
      </w:r>
      <w:proofErr w:type="spellEnd"/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b/>
          <w:bCs/>
          <w:sz w:val="28"/>
          <w:szCs w:val="28"/>
        </w:rPr>
        <w:t>dot</w:t>
      </w:r>
      <w:proofErr w:type="gramEnd"/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 plot, </w:t>
      </w:r>
      <w:r w:rsidRPr="005C7401">
        <w:rPr>
          <w:rFonts w:asciiTheme="majorBidi" w:hAnsiTheme="majorBidi" w:cstheme="majorBidi"/>
          <w:sz w:val="28"/>
          <w:szCs w:val="28"/>
        </w:rPr>
        <w:t>where each dot represents an individual cell or event.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Two parameters, one on each axis, are plotted against each other. Each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parameter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to be analyzed is determined by the operator. Using dual-parameter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dot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plots, the operator can draw a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“gate” </w:t>
      </w:r>
      <w:r w:rsidRPr="005C7401">
        <w:rPr>
          <w:rFonts w:asciiTheme="majorBidi" w:hAnsiTheme="majorBidi" w:cstheme="majorBidi"/>
          <w:sz w:val="28"/>
          <w:szCs w:val="28"/>
        </w:rPr>
        <w:t>around a population of interest and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analyze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various extrinsic and intrinsic parameters of the cells contained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within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gated region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(Fig. 4). </w:t>
      </w:r>
      <w:r w:rsidRPr="005C7401">
        <w:rPr>
          <w:rFonts w:asciiTheme="majorBidi" w:hAnsiTheme="majorBidi" w:cstheme="majorBidi"/>
          <w:sz w:val="28"/>
          <w:szCs w:val="28"/>
        </w:rPr>
        <w:t>The gate allows the operator to screen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out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debris and isolate subpopulations of cells of interest. Gates can be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thought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of as a set of filtering rules for analyzing a very large database. The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operator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can filter the data in any way and set multiple or sequential filters</w:t>
      </w:r>
    </w:p>
    <w:p w:rsidR="00817BAC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(</w:t>
      </w:r>
      <w:proofErr w:type="gramStart"/>
      <w:r w:rsidRPr="005C7401">
        <w:rPr>
          <w:rFonts w:asciiTheme="majorBidi" w:hAnsiTheme="majorBidi" w:cstheme="majorBidi"/>
          <w:sz w:val="28"/>
          <w:szCs w:val="28"/>
        </w:rPr>
        <w:t>or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gates).</w:t>
      </w:r>
    </w:p>
    <w:p w:rsidR="00951AF9" w:rsidRPr="005C7401" w:rsidRDefault="00817BAC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25356C4" wp14:editId="32348AC0">
            <wp:extent cx="4299585" cy="20574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F9" w:rsidRPr="005C7401" w:rsidRDefault="00951AF9" w:rsidP="005C7401">
      <w:pPr>
        <w:bidi w:val="0"/>
        <w:rPr>
          <w:rFonts w:asciiTheme="majorBidi" w:hAnsiTheme="majorBidi" w:cstheme="majorBidi"/>
          <w:sz w:val="28"/>
          <w:szCs w:val="28"/>
        </w:rPr>
      </w:pPr>
    </w:p>
    <w:p w:rsidR="00817BAC" w:rsidRPr="005C7401" w:rsidRDefault="00951AF9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FIGURE 3 </w:t>
      </w:r>
      <w:r w:rsidRPr="005C7401">
        <w:rPr>
          <w:rFonts w:asciiTheme="majorBidi" w:hAnsiTheme="majorBidi" w:cstheme="majorBidi"/>
          <w:sz w:val="28"/>
          <w:szCs w:val="28"/>
        </w:rPr>
        <w:t>Example of a single-parameter flow histogram. The y-axis consists of the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number of events. The x-axis is the parameter to be analyzed, which is chosen by the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 xml:space="preserve">operator; it is usually an extrinsic parameter, such as </w:t>
      </w:r>
      <w:proofErr w:type="gramStart"/>
      <w:r w:rsidRPr="005C7401">
        <w:rPr>
          <w:rFonts w:asciiTheme="majorBidi" w:hAnsiTheme="majorBidi" w:cstheme="majorBidi"/>
          <w:sz w:val="28"/>
          <w:szCs w:val="28"/>
        </w:rPr>
        <w:t>a fluorescence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>. The operator can then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set a marker to isolate the positive events. The computer will then calculate the percentage of</w:t>
      </w:r>
      <w:r w:rsidR="005C7401">
        <w:rPr>
          <w:rFonts w:asciiTheme="majorBidi" w:hAnsiTheme="majorBidi" w:cstheme="majorBidi"/>
          <w:sz w:val="28"/>
          <w:szCs w:val="28"/>
        </w:rPr>
        <w:t xml:space="preserve"> </w:t>
      </w:r>
      <w:r w:rsidRPr="005C7401">
        <w:rPr>
          <w:rFonts w:asciiTheme="majorBidi" w:hAnsiTheme="majorBidi" w:cstheme="majorBidi"/>
          <w:sz w:val="28"/>
          <w:szCs w:val="28"/>
        </w:rPr>
        <w:t>positive events within the designated markers.</w:t>
      </w:r>
    </w:p>
    <w:p w:rsidR="00D87C57" w:rsidRDefault="00951AF9" w:rsidP="00951AF9">
      <w:pPr>
        <w:bidi w:val="0"/>
        <w:rPr>
          <w:rFonts w:ascii="TimesNewRomanPSMT" w:hAnsi="TimesNewRomanPSMT" w:cs="TimesNewRomanPSMT"/>
          <w:sz w:val="29"/>
          <w:szCs w:val="29"/>
        </w:rPr>
      </w:pPr>
      <w:r>
        <w:rPr>
          <w:rFonts w:ascii="TimesNewRomanPSMT" w:hAnsi="TimesNewRomanPSMT" w:cs="TimesNewRomanPSMT"/>
          <w:noProof/>
          <w:sz w:val="29"/>
          <w:szCs w:val="29"/>
        </w:rPr>
        <w:lastRenderedPageBreak/>
        <w:drawing>
          <wp:inline distT="0" distB="0" distL="0" distR="0">
            <wp:extent cx="4334510" cy="239141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57" w:rsidRDefault="00D87C57" w:rsidP="005C7401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r>
        <w:rPr>
          <w:rFonts w:ascii="Arial-BoldMT" w:cs="Arial-BoldMT"/>
          <w:b/>
          <w:bCs/>
          <w:color w:val="006EAF"/>
        </w:rPr>
        <w:t xml:space="preserve">FIGURE 4 </w:t>
      </w:r>
      <w:r>
        <w:rPr>
          <w:rFonts w:ascii="ArialMT" w:cs="ArialMT"/>
          <w:color w:val="000000"/>
        </w:rPr>
        <w:t xml:space="preserve">A dual-parameter dot </w:t>
      </w:r>
      <w:proofErr w:type="gramStart"/>
      <w:r>
        <w:rPr>
          <w:rFonts w:ascii="ArialMT" w:cs="ArialMT"/>
          <w:color w:val="000000"/>
        </w:rPr>
        <w:t>plot</w:t>
      </w:r>
      <w:proofErr w:type="gramEnd"/>
      <w:r>
        <w:rPr>
          <w:rFonts w:ascii="ArialMT" w:cs="ArialMT"/>
          <w:color w:val="000000"/>
        </w:rPr>
        <w:t>. Both parameters on the x- and y-axes are chosen by</w:t>
      </w:r>
    </w:p>
    <w:p w:rsidR="00D87C57" w:rsidRDefault="00D87C57" w:rsidP="00D87C57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proofErr w:type="gramStart"/>
      <w:r>
        <w:rPr>
          <w:rFonts w:ascii="ArialMT" w:cs="ArialMT"/>
          <w:color w:val="000000"/>
        </w:rPr>
        <w:t>the</w:t>
      </w:r>
      <w:proofErr w:type="gramEnd"/>
      <w:r>
        <w:rPr>
          <w:rFonts w:ascii="ArialMT" w:cs="ArialMT"/>
          <w:color w:val="000000"/>
        </w:rPr>
        <w:t xml:space="preserve"> operator. In this case, lysed whole blood is analyzed for CD45 (x-axis) and SSC (y-axis).</w:t>
      </w:r>
    </w:p>
    <w:p w:rsidR="00D87C57" w:rsidRDefault="00D87C57" w:rsidP="00D87C57">
      <w:pPr>
        <w:autoSpaceDE w:val="0"/>
        <w:autoSpaceDN w:val="0"/>
        <w:bidi w:val="0"/>
        <w:adjustRightInd w:val="0"/>
        <w:spacing w:after="0" w:line="240" w:lineRule="auto"/>
        <w:rPr>
          <w:rFonts w:ascii="ArialMT" w:cs="ArialMT"/>
          <w:color w:val="000000"/>
        </w:rPr>
      </w:pPr>
      <w:r>
        <w:rPr>
          <w:rFonts w:ascii="ArialMT" w:cs="ArialMT"/>
          <w:color w:val="000000"/>
        </w:rPr>
        <w:t xml:space="preserve">The operator then draws a </w:t>
      </w:r>
      <w:r>
        <w:rPr>
          <w:rFonts w:ascii="ArialMT" w:cs="ArialMT" w:hint="cs"/>
          <w:color w:val="000000"/>
        </w:rPr>
        <w:t>“</w:t>
      </w:r>
      <w:r>
        <w:rPr>
          <w:rFonts w:ascii="ArialMT" w:cs="ArialMT"/>
          <w:color w:val="000000"/>
        </w:rPr>
        <w:t>gate</w:t>
      </w:r>
      <w:r>
        <w:rPr>
          <w:rFonts w:ascii="ArialMT" w:cs="ArialMT" w:hint="cs"/>
          <w:color w:val="000000"/>
        </w:rPr>
        <w:t>”</w:t>
      </w:r>
      <w:r>
        <w:rPr>
          <w:rFonts w:ascii="ArialMT" w:cs="ArialMT"/>
          <w:color w:val="000000"/>
        </w:rPr>
        <w:t xml:space="preserve"> to isolate the population of interest (e.g., granulocytes) for</w:t>
      </w:r>
    </w:p>
    <w:p w:rsidR="00951AF9" w:rsidRDefault="00D87C57" w:rsidP="00D87C57">
      <w:pPr>
        <w:bidi w:val="0"/>
        <w:rPr>
          <w:rFonts w:ascii="TimesNewRomanPSMT" w:hAnsi="TimesNewRomanPSMT" w:cs="TimesNewRomanPSMT"/>
          <w:sz w:val="29"/>
          <w:szCs w:val="29"/>
        </w:rPr>
      </w:pPr>
      <w:proofErr w:type="gramStart"/>
      <w:r>
        <w:rPr>
          <w:rFonts w:ascii="ArialMT" w:cs="ArialMT"/>
          <w:color w:val="000000"/>
        </w:rPr>
        <w:t>further</w:t>
      </w:r>
      <w:proofErr w:type="gramEnd"/>
      <w:r>
        <w:rPr>
          <w:rFonts w:ascii="ArialMT" w:cs="ArialMT"/>
          <w:color w:val="000000"/>
        </w:rPr>
        <w:t xml:space="preserve"> analysis.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5C7401">
        <w:rPr>
          <w:rFonts w:asciiTheme="majorBidi" w:hAnsiTheme="majorBidi" w:cstheme="majorBidi"/>
          <w:sz w:val="28"/>
          <w:szCs w:val="28"/>
        </w:rPr>
        <w:t>When analyzing a population of cells using a dual-parameter dot plot, the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operator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chooses which parameters to analyze on both the x- and y-axes,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divides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dot plot into four quadrants, and separates the positive events</w:t>
      </w:r>
    </w:p>
    <w:p w:rsidR="008D4552" w:rsidRPr="005C7401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from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negative events in each axis </w:t>
      </w:r>
      <w:r w:rsidRPr="005C7401">
        <w:rPr>
          <w:rFonts w:asciiTheme="majorBidi" w:hAnsiTheme="majorBidi" w:cstheme="majorBidi"/>
          <w:b/>
          <w:bCs/>
          <w:sz w:val="28"/>
          <w:szCs w:val="28"/>
        </w:rPr>
        <w:t xml:space="preserve">(Fig. 5). </w:t>
      </w:r>
      <w:r w:rsidRPr="005C7401">
        <w:rPr>
          <w:rFonts w:asciiTheme="majorBidi" w:hAnsiTheme="majorBidi" w:cstheme="majorBidi"/>
          <w:sz w:val="28"/>
          <w:szCs w:val="28"/>
        </w:rPr>
        <w:t>Quadrant 1 consists of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cells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that are positive for fluorescence on the y-axis and negative for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fluorescence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on the x-axis. Quadrant 2 consists of cells that are positive for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fluorescence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on both the x- and y-axes. Quadrant 3 consists of cells that are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negative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for fluorescence on both the x- and y-axes. Quadrant 4 consists of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cells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that are positive for fluorescence on the </w:t>
      </w:r>
      <w:r w:rsidRPr="005C7401">
        <w:rPr>
          <w:rFonts w:asciiTheme="majorBidi" w:hAnsiTheme="majorBidi" w:cstheme="majorBidi"/>
          <w:i/>
          <w:iCs/>
          <w:sz w:val="28"/>
          <w:szCs w:val="28"/>
        </w:rPr>
        <w:t>x</w:t>
      </w:r>
      <w:r w:rsidRPr="005C7401">
        <w:rPr>
          <w:rFonts w:asciiTheme="majorBidi" w:hAnsiTheme="majorBidi" w:cstheme="majorBidi"/>
          <w:sz w:val="28"/>
          <w:szCs w:val="28"/>
        </w:rPr>
        <w:t>-axis and negative for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fluorescence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on the y-axis. The computer and specialized software will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calculate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the percentage of cells in each quadrant based on the total number</w:t>
      </w:r>
    </w:p>
    <w:p w:rsidR="008D4552" w:rsidRPr="005C7401" w:rsidRDefault="008D4552" w:rsidP="005C7401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5C7401">
        <w:rPr>
          <w:rFonts w:asciiTheme="majorBidi" w:hAnsiTheme="majorBidi" w:cstheme="majorBidi"/>
          <w:sz w:val="28"/>
          <w:szCs w:val="28"/>
        </w:rPr>
        <w:t>of</w:t>
      </w:r>
      <w:proofErr w:type="gramEnd"/>
      <w:r w:rsidRPr="005C7401">
        <w:rPr>
          <w:rFonts w:asciiTheme="majorBidi" w:hAnsiTheme="majorBidi" w:cstheme="majorBidi"/>
          <w:sz w:val="28"/>
          <w:szCs w:val="28"/>
        </w:rPr>
        <w:t xml:space="preserve"> events counted.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4185285" cy="675259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552" w:rsidRDefault="008D4552" w:rsidP="008D4552">
      <w:pPr>
        <w:bidi w:val="0"/>
        <w:rPr>
          <w:rFonts w:ascii="TimesNewRomanPSMT" w:hAnsi="TimesNewRomanPSMT" w:cs="TimesNewRomanPSMT"/>
          <w:sz w:val="29"/>
          <w:szCs w:val="29"/>
        </w:rPr>
      </w:pP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r w:rsidRPr="00902025">
        <w:rPr>
          <w:rFonts w:asciiTheme="majorBidi" w:hAnsiTheme="majorBidi" w:cstheme="majorBidi"/>
          <w:b/>
          <w:bCs/>
          <w:color w:val="006EAF"/>
        </w:rPr>
        <w:t xml:space="preserve">FIGURE 5 </w:t>
      </w:r>
      <w:r w:rsidRPr="00902025">
        <w:rPr>
          <w:rFonts w:asciiTheme="majorBidi" w:hAnsiTheme="majorBidi" w:cstheme="majorBidi"/>
          <w:color w:val="000000"/>
        </w:rPr>
        <w:t>Quadrant analysis of a dual-parameter dot plot. The operator chooses which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parameters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to analyze on each axis. (A) On each axis, there are fluorescence positive and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fluorescence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negative cells. (B) Example of a dual-parameter dot plot to identify CD4+ T cells: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CD3 on the x-axis and CD4 on the y-axis.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The cells in quadrant 2 </w:t>
      </w:r>
      <w:proofErr w:type="gramStart"/>
      <w:r w:rsidRPr="00902025">
        <w:rPr>
          <w:rFonts w:asciiTheme="majorBidi" w:hAnsiTheme="majorBidi" w:cstheme="majorBidi"/>
          <w:color w:val="000000"/>
        </w:rPr>
        <w:t>that are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positive for both</w:t>
      </w:r>
    </w:p>
    <w:p w:rsidR="008D4552" w:rsidRPr="00902025" w:rsidRDefault="008D4552" w:rsidP="008D4552">
      <w:pPr>
        <w:bidi w:val="0"/>
        <w:rPr>
          <w:rFonts w:asciiTheme="majorBidi" w:hAnsiTheme="majorBidi" w:cstheme="majorBidi"/>
          <w:sz w:val="29"/>
          <w:szCs w:val="29"/>
        </w:rPr>
      </w:pPr>
      <w:r w:rsidRPr="00902025">
        <w:rPr>
          <w:rFonts w:asciiTheme="majorBidi" w:hAnsiTheme="majorBidi" w:cstheme="majorBidi"/>
          <w:color w:val="000000"/>
        </w:rPr>
        <w:t>CD3 and CD4 are true CD4+ T cells.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902025">
        <w:rPr>
          <w:rFonts w:asciiTheme="majorBidi" w:hAnsiTheme="majorBidi" w:cstheme="majorBidi"/>
          <w:sz w:val="28"/>
          <w:szCs w:val="28"/>
        </w:rPr>
        <w:lastRenderedPageBreak/>
        <w:t>A gate can be drawn around a population of cells based on their FSC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versus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SSC characteristics, and the extrinsic characteristics of the gated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population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can then be analyzed. For example, lymphocytes can be gated,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after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which the T-cell subpopulations (CD3+, CD4+ or CD3+, CD8+) and B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cells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(CD38+, CD3–) can be analyzed </w:t>
      </w:r>
      <w:r w:rsidRPr="00902025">
        <w:rPr>
          <w:rFonts w:asciiTheme="majorBidi" w:hAnsiTheme="majorBidi" w:cstheme="majorBidi"/>
          <w:b/>
          <w:bCs/>
          <w:sz w:val="28"/>
          <w:szCs w:val="28"/>
        </w:rPr>
        <w:t xml:space="preserve">(Fig. 6). </w:t>
      </w:r>
      <w:r w:rsidRPr="00902025">
        <w:rPr>
          <w:rFonts w:asciiTheme="majorBidi" w:hAnsiTheme="majorBidi" w:cstheme="majorBidi"/>
          <w:sz w:val="28"/>
          <w:szCs w:val="28"/>
        </w:rPr>
        <w:t>The absolute count of a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particular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cell type—for instance, CD4+ T lymphocytes—can be obtained by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multiplying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the absolute cell count of the population of interest (e.g.,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lymphocytes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>) derived by a hematology analyzer by the percentage of the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fluorescent-positive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cells in the sample CD3+, CD4+ lymphocytes. This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method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is considered a dual-platform analysis. The disadvantage to this type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of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analysis is that it has a greater potential for added error associated with the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use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of two distinct methods to derive the absolute count. The single platform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is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now the method of choice to eliminate this type of error. Single platforms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can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be achieved by two types of methods: bead-based or volumetric. In the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bead-based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method, a known quantity of fluorescent beads is added to the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flow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tubes, and a simple mathematic calculation allows the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absolute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WBC numbers to be directly determined from the individual flow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902025">
        <w:rPr>
          <w:rFonts w:asciiTheme="majorBidi" w:hAnsiTheme="majorBidi" w:cstheme="majorBidi"/>
          <w:sz w:val="28"/>
          <w:szCs w:val="28"/>
        </w:rPr>
        <w:t>cytometry</w:t>
      </w:r>
      <w:proofErr w:type="spellEnd"/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tubes. In the volumetric method, the precise volume of the sample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can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be used to calculate the absolute number of events.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902025">
        <w:rPr>
          <w:rFonts w:asciiTheme="majorBidi" w:hAnsiTheme="majorBidi" w:cstheme="majorBidi"/>
          <w:sz w:val="28"/>
          <w:szCs w:val="28"/>
        </w:rPr>
        <w:t xml:space="preserve">Detailed phenotypic analysis can determine the lineage and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clonality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>, as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well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as the degree of differentiation and activation, of a specific cell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population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>. This information is useful for differential diagnosis or</w:t>
      </w:r>
    </w:p>
    <w:p w:rsidR="00902025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clarification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of closely related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lymphoproliferative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disorders</w:t>
      </w:r>
      <w:r w:rsidR="00902025">
        <w:rPr>
          <w:rFonts w:asciiTheme="majorBidi" w:hAnsiTheme="majorBidi" w:cstheme="majorBidi"/>
          <w:sz w:val="28"/>
          <w:szCs w:val="28"/>
        </w:rPr>
        <w:t>.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r w:rsidRPr="00902025">
        <w:rPr>
          <w:rFonts w:asciiTheme="majorBidi" w:hAnsiTheme="majorBidi" w:cstheme="majorBidi"/>
          <w:sz w:val="28"/>
          <w:szCs w:val="28"/>
        </w:rPr>
        <w:t>Immunophenotyping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requires careful selection of combinations of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individual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markers based on a given cell lineage and maturation stage.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902025">
        <w:rPr>
          <w:rFonts w:asciiTheme="majorBidi" w:hAnsiTheme="majorBidi" w:cstheme="majorBidi"/>
          <w:sz w:val="28"/>
          <w:szCs w:val="28"/>
        </w:rPr>
        <w:t>Attempts to standardize individual marker panels, especially by European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laboratory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groups, are ongoing; however, the markers selected for inclusion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in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testing panels vary from institution to institution.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902025">
        <w:rPr>
          <w:rFonts w:asciiTheme="majorBidi" w:hAnsiTheme="majorBidi" w:cstheme="majorBidi"/>
          <w:b/>
          <w:bCs/>
          <w:sz w:val="28"/>
          <w:szCs w:val="28"/>
        </w:rPr>
        <w:t>Clinical Applications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902025">
        <w:rPr>
          <w:rFonts w:asciiTheme="majorBidi" w:hAnsiTheme="majorBidi" w:cstheme="majorBidi"/>
          <w:sz w:val="28"/>
          <w:szCs w:val="28"/>
        </w:rPr>
        <w:t xml:space="preserve">Routine applications of flow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in the clinical laboratory can be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divided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into two categories: nonmalignant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immunophenotyping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and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malignant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immunophenotyping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. Nonmalignant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immunophenotyping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includes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characterization and enumeration of normal lymphocytes, such as CD4+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902025">
        <w:rPr>
          <w:rFonts w:asciiTheme="majorBidi" w:hAnsiTheme="majorBidi" w:cstheme="majorBidi"/>
          <w:sz w:val="28"/>
          <w:szCs w:val="28"/>
        </w:rPr>
        <w:t xml:space="preserve">T cells and CD34+ stem cells. </w:t>
      </w:r>
      <w:r w:rsidRPr="00902025">
        <w:rPr>
          <w:rFonts w:asciiTheme="majorBidi" w:hAnsiTheme="majorBidi" w:cstheme="majorBidi"/>
          <w:i/>
          <w:iCs/>
          <w:sz w:val="28"/>
          <w:szCs w:val="28"/>
        </w:rPr>
        <w:t xml:space="preserve">Malignant </w:t>
      </w:r>
      <w:proofErr w:type="spellStart"/>
      <w:r w:rsidRPr="00902025">
        <w:rPr>
          <w:rFonts w:asciiTheme="majorBidi" w:hAnsiTheme="majorBidi" w:cstheme="majorBidi"/>
          <w:i/>
          <w:iCs/>
          <w:sz w:val="28"/>
          <w:szCs w:val="28"/>
        </w:rPr>
        <w:t>immunophenotyping</w:t>
      </w:r>
      <w:proofErr w:type="spellEnd"/>
      <w:r w:rsidRPr="00902025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902025">
        <w:rPr>
          <w:rFonts w:asciiTheme="majorBidi" w:hAnsiTheme="majorBidi" w:cstheme="majorBidi"/>
          <w:sz w:val="28"/>
          <w:szCs w:val="28"/>
        </w:rPr>
        <w:t>refers to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902025">
        <w:rPr>
          <w:rFonts w:asciiTheme="majorBidi" w:hAnsiTheme="majorBidi" w:cstheme="majorBidi"/>
          <w:sz w:val="28"/>
          <w:szCs w:val="28"/>
        </w:rPr>
        <w:t>immunophenotypic</w:t>
      </w:r>
      <w:proofErr w:type="spellEnd"/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characterization of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leukemias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>, lymphomas, and other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lastRenderedPageBreak/>
        <w:t>hematopoietic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disorders.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r w:rsidRPr="00902025">
        <w:rPr>
          <w:rFonts w:asciiTheme="majorBidi" w:hAnsiTheme="majorBidi" w:cstheme="majorBidi"/>
          <w:sz w:val="28"/>
          <w:szCs w:val="28"/>
        </w:rPr>
        <w:t>Immunophenotyping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by flow </w:t>
      </w:r>
      <w:proofErr w:type="spellStart"/>
      <w:r w:rsidRPr="00902025">
        <w:rPr>
          <w:rFonts w:asciiTheme="majorBidi" w:hAnsiTheme="majorBidi" w:cstheme="majorBidi"/>
          <w:sz w:val="28"/>
          <w:szCs w:val="28"/>
        </w:rPr>
        <w:t>cytometry</w:t>
      </w:r>
      <w:proofErr w:type="spellEnd"/>
      <w:r w:rsidRPr="00902025">
        <w:rPr>
          <w:rFonts w:asciiTheme="majorBidi" w:hAnsiTheme="majorBidi" w:cstheme="majorBidi"/>
          <w:sz w:val="28"/>
          <w:szCs w:val="28"/>
        </w:rPr>
        <w:t xml:space="preserve"> has become an important</w:t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902025">
        <w:rPr>
          <w:rFonts w:asciiTheme="majorBidi" w:hAnsiTheme="majorBidi" w:cstheme="majorBidi"/>
          <w:sz w:val="28"/>
          <w:szCs w:val="28"/>
        </w:rPr>
        <w:t>component</w:t>
      </w:r>
      <w:proofErr w:type="gramEnd"/>
      <w:r w:rsidRPr="00902025">
        <w:rPr>
          <w:rFonts w:asciiTheme="majorBidi" w:hAnsiTheme="majorBidi" w:cstheme="majorBidi"/>
          <w:sz w:val="28"/>
          <w:szCs w:val="28"/>
        </w:rPr>
        <w:t xml:space="preserve"> of initial evaluation and subsequent post-therapeutic monitoring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in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leukemia and lymphoma management. Flow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cytometric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findings have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been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incorporated into current leukemia and lymphoma classifications,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beginning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with the Revised European-American Lymphoma (REAL)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classification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in 1994 and, more recently, in the World Health Organization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(WHO) classifications.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One of the most important components of flow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spellStart"/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cytometric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analysis is the stratification of hematopoietic malignancies by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their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lineage (i.e., B cell, T cell, or myeloid) and degree of differentiation.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Some of the more common cell-differentiation antigens are listed in </w:t>
      </w:r>
      <w:r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  <w:t>Table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</w:pPr>
      <w:proofErr w:type="gramStart"/>
      <w:r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  <w:t>13</w:t>
      </w:r>
      <w:r>
        <w:rPr>
          <w:rFonts w:ascii="TimesNewRomanPS-BoldMT" w:hAnsi="TimesNewRomanPSMT" w:cs="TimesNewRomanPS-BoldMT" w:hint="cs"/>
          <w:b/>
          <w:bCs/>
          <w:color w:val="0000EF"/>
          <w:sz w:val="29"/>
          <w:szCs w:val="29"/>
        </w:rPr>
        <w:t>–</w:t>
      </w:r>
      <w:r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  <w:t>1</w:t>
      </w:r>
      <w:r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  <w:t>.</w:t>
      </w:r>
      <w:proofErr w:type="gramEnd"/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</w:pP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</w:pPr>
      <w:r>
        <w:rPr>
          <w:rFonts w:ascii="TimesNewRomanPS-BoldMT" w:hAnsi="TimesNewRomanPSMT" w:cs="TimesNewRomanPS-BoldMT"/>
          <w:b/>
          <w:bCs/>
          <w:noProof/>
          <w:color w:val="000000"/>
          <w:sz w:val="29"/>
          <w:szCs w:val="29"/>
        </w:rPr>
        <w:drawing>
          <wp:inline distT="0" distB="0" distL="0" distR="0">
            <wp:extent cx="5971540" cy="454728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5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552" w:rsidRPr="00902025" w:rsidRDefault="008D4552" w:rsidP="0090202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r w:rsidRPr="00902025">
        <w:rPr>
          <w:rFonts w:asciiTheme="majorBidi" w:hAnsiTheme="majorBidi" w:cstheme="majorBidi"/>
          <w:b/>
          <w:bCs/>
          <w:color w:val="006EAF"/>
        </w:rPr>
        <w:t xml:space="preserve">FIGURE 6 </w:t>
      </w:r>
      <w:r w:rsidRPr="00902025">
        <w:rPr>
          <w:rFonts w:asciiTheme="majorBidi" w:hAnsiTheme="majorBidi" w:cstheme="majorBidi"/>
          <w:color w:val="000000"/>
        </w:rPr>
        <w:t xml:space="preserve">Gating </w:t>
      </w:r>
      <w:proofErr w:type="gramStart"/>
      <w:r w:rsidRPr="00902025">
        <w:rPr>
          <w:rFonts w:asciiTheme="majorBidi" w:hAnsiTheme="majorBidi" w:cstheme="majorBidi"/>
          <w:color w:val="000000"/>
        </w:rPr>
        <w:t>strategy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to analyze lymphocyte subsets in a sample of whole blood.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r w:rsidRPr="00902025">
        <w:rPr>
          <w:rFonts w:asciiTheme="majorBidi" w:hAnsiTheme="majorBidi" w:cstheme="majorBidi"/>
          <w:color w:val="000000"/>
        </w:rPr>
        <w:t>Whole blood is incubated with fluorescent-labeled antibodies specific for CD3, CD4, CD8, and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HLA-DR.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The sample is washed, RBCs are lysed, and the sample is analyzed on the flow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cytometer</w:t>
      </w:r>
      <w:proofErr w:type="gramEnd"/>
      <w:r w:rsidRPr="00902025">
        <w:rPr>
          <w:rFonts w:asciiTheme="majorBidi" w:hAnsiTheme="majorBidi" w:cstheme="majorBidi"/>
          <w:color w:val="000000"/>
        </w:rPr>
        <w:t>. To analyze using gating strategies, the sample is first plotted using FSC versus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SSC.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(A) A gate, or region, is drawn around the lymphocyte population. (B) On the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lastRenderedPageBreak/>
        <w:t>subsequent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plots of fluorescent markers, only the lymphocyte population is analyzed. The dot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plot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is divided into four quadrants to isolate positive from negative populations. The computer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calculates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the percentage of positive cells in each quadrant. The three flow contour plots are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analyzing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two different cell surface markers. In the first dot plot, quadrant 2 (upper right)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identifies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CD4+ CD3+ T-helper-cell lymphocytes. Quadrant 3 (lower left) includes B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lymphocytes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and natural killer (NK) cells. Quadrant 4 (lower right) identifies CD3+ CD4– T-cell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lymphocytes</w:t>
      </w:r>
      <w:proofErr w:type="gramEnd"/>
      <w:r w:rsidRPr="00902025">
        <w:rPr>
          <w:rFonts w:asciiTheme="majorBidi" w:hAnsiTheme="majorBidi" w:cstheme="majorBidi"/>
          <w:color w:val="000000"/>
        </w:rPr>
        <w:t>. In the second dot plot, quadrant 1 (upper left) identifies low-intensity CD8+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CD3– NK cells.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Quadrant 2 identifies CD3+ CD8+ T-cytotoxic lymphocytes. Quadrant 3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contains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any lymphocyte that is not CD8+, CD3+ (B-cell lymphocytes). Quadrant 4 contains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proofErr w:type="gramStart"/>
      <w:r w:rsidRPr="00902025">
        <w:rPr>
          <w:rFonts w:asciiTheme="majorBidi" w:hAnsiTheme="majorBidi" w:cstheme="majorBidi"/>
          <w:color w:val="000000"/>
        </w:rPr>
        <w:t>CD3+ CD8– T helper cell lymphocytes.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In the third contour plot, quadrant 1 identifies CD38+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</w:rPr>
      </w:pPr>
      <w:r w:rsidRPr="00902025">
        <w:rPr>
          <w:rFonts w:asciiTheme="majorBidi" w:hAnsiTheme="majorBidi" w:cstheme="majorBidi"/>
          <w:color w:val="000000"/>
        </w:rPr>
        <w:t>CD3– B cells, quadrant 2 identifies CD38+ CD3+ activated T cells, quadrant 3 contains</w:t>
      </w:r>
    </w:p>
    <w:p w:rsidR="008D4552" w:rsidRPr="00902025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9"/>
          <w:szCs w:val="29"/>
        </w:rPr>
      </w:pPr>
      <w:r w:rsidRPr="00902025">
        <w:rPr>
          <w:rFonts w:asciiTheme="majorBidi" w:hAnsiTheme="majorBidi" w:cstheme="majorBidi"/>
          <w:color w:val="000000"/>
        </w:rPr>
        <w:t xml:space="preserve">CD38– CD3– </w:t>
      </w:r>
      <w:proofErr w:type="gramStart"/>
      <w:r w:rsidRPr="00902025">
        <w:rPr>
          <w:rFonts w:asciiTheme="majorBidi" w:hAnsiTheme="majorBidi" w:cstheme="majorBidi"/>
          <w:color w:val="000000"/>
        </w:rPr>
        <w:t>cells,</w:t>
      </w:r>
      <w:proofErr w:type="gramEnd"/>
      <w:r w:rsidRPr="00902025">
        <w:rPr>
          <w:rFonts w:asciiTheme="majorBidi" w:hAnsiTheme="majorBidi" w:cstheme="majorBidi"/>
          <w:color w:val="000000"/>
        </w:rPr>
        <w:t xml:space="preserve"> and quadrant 4 identifies CD3+ CD38– T cells, not activated.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Knowing the unique characteristics of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leukemias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and lymphomas and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pairing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the specific markers that identify these characteristics can be useful in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making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 more reliable diagnosis. For example, in chronic lymphocytic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leukemia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(CLL), typically CD5 (a T-cell lymphocyte marker) is paired with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CD20 (a B-cell lymphocyte marker) for analysis.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The presence of a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significant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number of cells that are both CD5+ and CD20+ is an indication of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CLL or mantle cell lymphoma.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Common marker combinations are shown in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</w:pPr>
      <w:proofErr w:type="gramStart"/>
      <w:r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  <w:t>Table 13</w:t>
      </w:r>
      <w:r>
        <w:rPr>
          <w:rFonts w:ascii="TimesNewRomanPS-BoldMT" w:hAnsi="TimesNewRomanPSMT" w:cs="TimesNewRomanPS-BoldMT" w:hint="cs"/>
          <w:b/>
          <w:bCs/>
          <w:color w:val="0000EF"/>
          <w:sz w:val="29"/>
          <w:szCs w:val="29"/>
        </w:rPr>
        <w:t>–</w:t>
      </w:r>
      <w:r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  <w:t>2</w:t>
      </w:r>
      <w:r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  <w:t>.</w:t>
      </w:r>
      <w:proofErr w:type="gramEnd"/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>CD45 is a pan-leukocyte marker present on all WBCs but with varying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levels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of expression based on the cell’s maturity as well as lineage. This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variance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in expression results in different levels of fluorescence. Blasts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express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lower levels of CD45 (low fluorescence) but show an increase of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>CD45 expression as the cell matures; therefore, mature WBCs have much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brighter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CD45 fluorescence compared with their earlier progenitor stages.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>The analysis of CD45 expression levels is useful in differentiating various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populations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of WBCs and, in combination with SSC, has replaced gating by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FSC and SSC in many laboratories.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However, it is always a good idea to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examine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the FSC and SSC plot to be sure a population is not being missed.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Immunophenotyping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of WBC populations is also essential when an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immunodeficiency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is suspected. Patient values are compared with reference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ranges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established by the clinical laboratory performing the testing. Typical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ranges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for B cells, T-cell subsets, and natural killer (NK) cells are listed in</w:t>
      </w:r>
    </w:p>
    <w:p w:rsidR="008D4552" w:rsidRDefault="008D4552" w:rsidP="008D4552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</w:pPr>
      <w:proofErr w:type="gramStart"/>
      <w:r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  <w:t>Table 13</w:t>
      </w:r>
      <w:r>
        <w:rPr>
          <w:rFonts w:ascii="TimesNewRomanPS-BoldMT" w:hAnsi="TimesNewRomanPSMT" w:cs="TimesNewRomanPS-BoldMT" w:hint="cs"/>
          <w:b/>
          <w:bCs/>
          <w:color w:val="0000EF"/>
          <w:sz w:val="29"/>
          <w:szCs w:val="29"/>
        </w:rPr>
        <w:t>–</w:t>
      </w:r>
      <w:r>
        <w:rPr>
          <w:rFonts w:ascii="TimesNewRomanPS-BoldMT" w:hAnsi="TimesNewRomanPSMT" w:cs="TimesNewRomanPS-BoldMT"/>
          <w:b/>
          <w:bCs/>
          <w:color w:val="0000EF"/>
          <w:sz w:val="29"/>
          <w:szCs w:val="29"/>
        </w:rPr>
        <w:t>3</w:t>
      </w:r>
      <w:r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  <w:t>.</w:t>
      </w:r>
      <w:proofErr w:type="gramEnd"/>
    </w:p>
    <w:p w:rsidR="00483368" w:rsidRDefault="00D31911" w:rsidP="00D31911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b/>
          <w:bCs/>
          <w:color w:val="000000"/>
          <w:sz w:val="29"/>
          <w:szCs w:val="29"/>
        </w:rPr>
      </w:pPr>
      <w:r>
        <w:rPr>
          <w:rFonts w:ascii="TimesNewRomanPS-BoldMT" w:hAnsi="TimesNewRomanPSMT" w:cs="TimesNewRomanPS-BoldMT"/>
          <w:b/>
          <w:bCs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5971540" cy="5011798"/>
            <wp:effectExtent l="0" t="0" r="0" b="0"/>
            <wp:docPr id="7" name="Picture 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0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98" w:rsidRDefault="00483368" w:rsidP="00483368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741670" cy="5706110"/>
            <wp:effectExtent l="0" t="0" r="0" b="8890"/>
            <wp:docPr id="8" name="Picture 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46" w:rsidRDefault="00E55B98" w:rsidP="00E55B98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644515" cy="5380990"/>
            <wp:effectExtent l="0" t="0" r="0" b="0"/>
            <wp:docPr id="9" name="Picture 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6C" w:rsidRDefault="00556946" w:rsidP="00556946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644515" cy="5380990"/>
            <wp:effectExtent l="0" t="0" r="0" b="0"/>
            <wp:docPr id="10" name="Picture 10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E3" w:rsidRDefault="004D6E6C" w:rsidP="004D6E6C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644515" cy="5380990"/>
            <wp:effectExtent l="0" t="0" r="0" b="0"/>
            <wp:docPr id="11" name="Picture 11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E3" w:rsidRDefault="00BD41E3" w:rsidP="00BD41E3">
      <w:pPr>
        <w:bidi w:val="0"/>
        <w:rPr>
          <w:rFonts w:ascii="TimesNewRomanPS-BoldMT" w:hAnsi="TimesNewRomanPSMT" w:cs="TimesNewRomanPS-BoldMT"/>
          <w:sz w:val="29"/>
          <w:szCs w:val="29"/>
        </w:rPr>
      </w:pPr>
    </w:p>
    <w:p w:rsidR="008506EF" w:rsidRDefault="00BD41E3" w:rsidP="00BD41E3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565775" cy="4914900"/>
            <wp:effectExtent l="0" t="0" r="0" b="0"/>
            <wp:docPr id="12" name="Picture 1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7" w:rsidRDefault="008506EF" w:rsidP="008506EF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644515" cy="5178425"/>
            <wp:effectExtent l="0" t="0" r="0" b="3175"/>
            <wp:docPr id="13" name="Picture 13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6" w:rsidRDefault="00117207" w:rsidP="00117207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715000" cy="5600700"/>
            <wp:effectExtent l="0" t="0" r="0" b="0"/>
            <wp:docPr id="14" name="Picture 14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6" w:rsidRDefault="004714E6" w:rsidP="004714E6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lastRenderedPageBreak/>
        <w:drawing>
          <wp:inline distT="0" distB="0" distL="0" distR="0">
            <wp:extent cx="5205095" cy="3385185"/>
            <wp:effectExtent l="0" t="0" r="0" b="5715"/>
            <wp:docPr id="15" name="Picture 15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6" w:rsidRDefault="004714E6" w:rsidP="004714E6">
      <w:pPr>
        <w:bidi w:val="0"/>
        <w:rPr>
          <w:rFonts w:ascii="TimesNewRomanPS-BoldMT" w:hAnsi="TimesNewRomanPSMT" w:cs="TimesNewRomanPS-BoldMT"/>
          <w:sz w:val="29"/>
          <w:szCs w:val="29"/>
        </w:rPr>
      </w:pPr>
      <w:r>
        <w:rPr>
          <w:rFonts w:ascii="TimesNewRomanPS-BoldMT" w:hAnsi="TimesNewRomanPSMT" w:cs="TimesNewRomanPS-BoldMT"/>
          <w:noProof/>
          <w:sz w:val="29"/>
          <w:szCs w:val="29"/>
        </w:rPr>
        <w:drawing>
          <wp:inline distT="0" distB="0" distL="0" distR="0">
            <wp:extent cx="5205095" cy="3385185"/>
            <wp:effectExtent l="0" t="0" r="0" b="5715"/>
            <wp:docPr id="16" name="Picture 16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6" w:rsidRPr="006F5F70" w:rsidRDefault="004714E6" w:rsidP="004714E6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6F5F70">
        <w:rPr>
          <w:rFonts w:ascii="TimesNewRomanPSMT" w:hAnsi="TimesNewRomanPSMT" w:cs="TimesNewRomanPSMT"/>
          <w:color w:val="000000"/>
          <w:sz w:val="28"/>
          <w:szCs w:val="28"/>
        </w:rPr>
        <w:t xml:space="preserve">Flow </w:t>
      </w:r>
      <w:proofErr w:type="spellStart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>cytometry</w:t>
      </w:r>
      <w:proofErr w:type="spellEnd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 xml:space="preserve"> is essential to the evaluation of immunodeficiency</w:t>
      </w:r>
    </w:p>
    <w:p w:rsidR="004714E6" w:rsidRPr="006F5F70" w:rsidRDefault="004714E6" w:rsidP="004714E6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>resulting</w:t>
      </w:r>
      <w:proofErr w:type="gramEnd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 xml:space="preserve"> from infection with HIV, which can lead to AIDS. Enumeration of</w:t>
      </w:r>
    </w:p>
    <w:p w:rsidR="004714E6" w:rsidRPr="006F5F70" w:rsidRDefault="004714E6" w:rsidP="004714E6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>peripheral</w:t>
      </w:r>
      <w:proofErr w:type="gramEnd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 xml:space="preserve"> blood CD4+ T cells in HIV-infected patients by the flow</w:t>
      </w:r>
    </w:p>
    <w:p w:rsidR="004714E6" w:rsidRPr="006F5F70" w:rsidRDefault="004714E6" w:rsidP="004714E6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proofErr w:type="gramStart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>cytometry</w:t>
      </w:r>
      <w:proofErr w:type="spellEnd"/>
      <w:proofErr w:type="gramEnd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 xml:space="preserve"> laboratory is used to classify stages of HIV disease and determine</w:t>
      </w:r>
    </w:p>
    <w:p w:rsidR="00D31911" w:rsidRDefault="004714E6" w:rsidP="006F5F70">
      <w:pPr>
        <w:autoSpaceDE w:val="0"/>
        <w:autoSpaceDN w:val="0"/>
        <w:bidi w:val="0"/>
        <w:adjustRightInd w:val="0"/>
        <w:spacing w:after="0" w:line="240" w:lineRule="auto"/>
        <w:rPr>
          <w:rFonts w:ascii="TimesNewRomanPS-BoldMT" w:hAnsi="TimesNewRomanPSMT" w:cs="TimesNewRomanPS-BoldMT"/>
          <w:sz w:val="29"/>
          <w:szCs w:val="29"/>
        </w:rPr>
      </w:pPr>
      <w:proofErr w:type="gramStart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treatment</w:t>
      </w:r>
      <w:proofErr w:type="gramEnd"/>
      <w:r w:rsidRPr="006F5F70">
        <w:rPr>
          <w:rFonts w:ascii="TimesNewRomanPSMT" w:hAnsi="TimesNewRomanPSMT" w:cs="TimesNewRomanPSMT"/>
          <w:color w:val="000000"/>
          <w:sz w:val="28"/>
          <w:szCs w:val="28"/>
        </w:rPr>
        <w:t xml:space="preserve"> options. HIV type 1 (HIV-1) infections cause a</w:t>
      </w:r>
      <w:r w:rsidR="006F5F7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9"/>
          <w:szCs w:val="29"/>
        </w:rPr>
        <w:t>rapid, profound decrease in CD4+ T-cell numbers and an expansion of CD8+T-cell levels during the early course of the illness (12 to 18 months). Some</w:t>
      </w:r>
      <w:r w:rsidR="006F5F70">
        <w:rPr>
          <w:rFonts w:ascii="TimesNewRomanPSMT" w:hAnsi="TimesNewRomanPSMT" w:cs="TimesNewRomanPSMT"/>
          <w:color w:val="000000"/>
          <w:sz w:val="29"/>
          <w:szCs w:val="29"/>
        </w:rPr>
        <w:t xml:space="preserve"> </w:t>
      </w:r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individuals continue to rapidly lose CD4+ T cells and progress to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AIDS</w:t>
      </w: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,whereas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others maintain relatively stable CD4+ T-cell counts and remain</w:t>
      </w:r>
      <w:r w:rsidR="006F5F70">
        <w:rPr>
          <w:rFonts w:ascii="TimesNewRomanPSMT" w:hAnsi="TimesNewRomanPSMT" w:cs="TimesNewRomanPSMT"/>
          <w:color w:val="000000"/>
          <w:sz w:val="29"/>
          <w:szCs w:val="29"/>
        </w:rPr>
        <w:t xml:space="preserve"> </w:t>
      </w:r>
      <w:r>
        <w:rPr>
          <w:rFonts w:ascii="TimesNewRomanPSMT" w:hAnsi="TimesNewRomanPSMT" w:cs="TimesNewRomanPSMT"/>
          <w:color w:val="000000"/>
          <w:sz w:val="29"/>
          <w:szCs w:val="29"/>
        </w:rPr>
        <w:t>AIDS-free for years. During the chronic phase of HIV-1 disease, there can be</w:t>
      </w:r>
      <w:r w:rsidR="006F5F70">
        <w:rPr>
          <w:rFonts w:ascii="TimesNewRomanPSMT" w:hAnsi="TimesNewRomanPSMT" w:cs="TimesNewRomanPSMT"/>
          <w:color w:val="000000"/>
          <w:sz w:val="29"/>
          <w:szCs w:val="29"/>
        </w:rPr>
        <w:t xml:space="preserve"> </w:t>
      </w:r>
      <w:r>
        <w:rPr>
          <w:rFonts w:ascii="TimesNewRomanPSMT" w:hAnsi="TimesNewRomanPSMT" w:cs="TimesNewRomanPSMT"/>
          <w:color w:val="000000"/>
          <w:sz w:val="29"/>
          <w:szCs w:val="29"/>
        </w:rPr>
        <w:t>a slow decline in CD4+ T cells throughout many years because of available</w:t>
      </w:r>
      <w:r w:rsidR="006F5F70">
        <w:rPr>
          <w:rFonts w:ascii="TimesNewRomanPSMT" w:hAnsi="TimesNewRomanPSMT" w:cs="TimesNewRomanPSMT"/>
          <w:color w:val="000000"/>
          <w:sz w:val="29"/>
          <w:szCs w:val="29"/>
        </w:rPr>
        <w:t xml:space="preserve"> </w:t>
      </w:r>
      <w:r>
        <w:rPr>
          <w:rFonts w:ascii="TimesNewRomanPSMT" w:hAnsi="TimesNewRomanPSMT" w:cs="TimesNewRomanPSMT"/>
          <w:color w:val="000000"/>
          <w:sz w:val="29"/>
          <w:szCs w:val="29"/>
        </w:rPr>
        <w:t>therapies and maintenance of homeostatic mechanisms in the patient. If these</w:t>
      </w:r>
      <w:r w:rsidR="006F5F70">
        <w:rPr>
          <w:rFonts w:ascii="TimesNewRomanPSMT" w:hAnsi="TimesNewRomanPSMT" w:cs="TimesNewRomanPSMT"/>
          <w:color w:val="000000"/>
          <w:sz w:val="29"/>
          <w:szCs w:val="29"/>
        </w:rPr>
        <w:t xml:space="preserve"> </w:t>
      </w:r>
      <w:r>
        <w:rPr>
          <w:rFonts w:ascii="TimesNewRomanPSMT" w:hAnsi="TimesNewRomanPSMT" w:cs="TimesNewRomanPSMT"/>
          <w:color w:val="000000"/>
          <w:sz w:val="29"/>
          <w:szCs w:val="29"/>
        </w:rPr>
        <w:t>mechanisms fail, further declines in CD4+ T and CD8+ T cells occur, leading</w:t>
      </w:r>
      <w:r w:rsidR="006F5F70">
        <w:rPr>
          <w:rFonts w:ascii="TimesNewRomanPSMT" w:hAnsi="TimesNewRomanPSMT" w:cs="TimesNewRomanPSMT"/>
          <w:color w:val="000000"/>
          <w:sz w:val="29"/>
          <w:szCs w:val="29"/>
        </w:rPr>
        <w:t xml:space="preserve"> </w:t>
      </w:r>
      <w:r>
        <w:rPr>
          <w:rFonts w:ascii="TimesNewRomanPSMT" w:hAnsi="TimesNewRomanPSMT" w:cs="TimesNewRomanPSMT"/>
          <w:color w:val="000000"/>
          <w:sz w:val="29"/>
          <w:szCs w:val="29"/>
        </w:rPr>
        <w:t>to the development of AIDS.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Flow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cytometry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is also the method of choice for the diagnosis of several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inherited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immunodeficiency diseases such as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Bruton’s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tyrosine kinase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deficiency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>, which is characterized by a lack of circulating mature B cells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(CD19+).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Another example is chronic granulomatous disease, an X-linked or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autosomal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recessive disease in which neutrophils are defective in their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oxidative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burst. In this case, neutrophils are exposed to the dye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spellStart"/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dihydrorhodamine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123, which is not fluorescent until oxidized. When normal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neutrophils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are stimulated in vitro, the dye is oxidized and becomes intensely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fluorescent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>. Neutrophils from patients with CGD are unable to oxidize the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dye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and do not become fluorescent after stimulation.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Another example is paroxysmal nocturnal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hemoglobinuria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(PNH), an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inherited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disease characterized by hemolytic anemia. The RBCs, neutrophils,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monocytes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>, and other cells of patients with PNH lack the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spellStart"/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glycosylphosphatidylinositol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(GPI) anchors by which many surface proteins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are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attached to the cell membrane. Therefore, the RBCs are fragile.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r>
        <w:rPr>
          <w:rFonts w:ascii="TimesNewRomanPSMT" w:hAnsi="TimesNewRomanPSMT" w:cs="TimesNewRomanPSMT"/>
          <w:color w:val="000000"/>
          <w:sz w:val="29"/>
          <w:szCs w:val="29"/>
        </w:rPr>
        <w:t>Hemolysis occurs during pH changes in the blood, typically at night. Several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flow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cytometry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tests are available to detect this defect. One test looks for the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antigens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that use the GPI anchor because these antigens will be missing or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reduced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in patients with PNH. Another test detects the GPI anchor itself by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its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ability to bind to fluorescent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aerolysin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(FLAER). Normal granulocytes and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monocytes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will be fluorescent because they possess the anchor, whereas the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fluorescence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in PNH cells missing the anchor will be reduced or absent.</w:t>
      </w:r>
    </w:p>
    <w:p w:rsidR="00820E78" w:rsidRDefault="00820E78" w:rsidP="00820E78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Immunophenotyping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has also become an essential test in the diagnosis and</w:t>
      </w:r>
    </w:p>
    <w:p w:rsidR="00820E78" w:rsidRDefault="00820E78" w:rsidP="006F5F70">
      <w:pPr>
        <w:autoSpaceDE w:val="0"/>
        <w:autoSpaceDN w:val="0"/>
        <w:bidi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9"/>
          <w:szCs w:val="29"/>
        </w:rPr>
      </w:pPr>
      <w:proofErr w:type="gramStart"/>
      <w:r>
        <w:rPr>
          <w:rFonts w:ascii="TimesNewRomanPSMT" w:hAnsi="TimesNewRomanPSMT" w:cs="TimesNewRomanPSMT"/>
          <w:color w:val="000000"/>
          <w:sz w:val="29"/>
          <w:szCs w:val="29"/>
        </w:rPr>
        <w:t>monitoring</w:t>
      </w:r>
      <w:proofErr w:type="gram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of patients with </w:t>
      </w:r>
      <w:proofErr w:type="spellStart"/>
      <w:r>
        <w:rPr>
          <w:rFonts w:ascii="TimesNewRomanPSMT" w:hAnsi="TimesNewRomanPSMT" w:cs="TimesNewRomanPSMT"/>
          <w:color w:val="000000"/>
          <w:sz w:val="29"/>
          <w:szCs w:val="29"/>
        </w:rPr>
        <w:t>leukemias</w:t>
      </w:r>
      <w:proofErr w:type="spellEnd"/>
      <w:r>
        <w:rPr>
          <w:rFonts w:ascii="TimesNewRomanPSMT" w:hAnsi="TimesNewRomanPSMT" w:cs="TimesNewRomanPSMT"/>
          <w:color w:val="000000"/>
          <w:sz w:val="29"/>
          <w:szCs w:val="29"/>
        </w:rPr>
        <w:t xml:space="preserve"> and lymphomas </w:t>
      </w:r>
      <w:r w:rsidR="006F5F70">
        <w:rPr>
          <w:rFonts w:ascii="TimesNewRomanPSMT" w:hAnsi="TimesNewRomanPSMT" w:cs="TimesNewRomanPSMT"/>
          <w:color w:val="000000"/>
          <w:sz w:val="29"/>
          <w:szCs w:val="29"/>
        </w:rPr>
        <w:t>.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6F5F70">
        <w:rPr>
          <w:rFonts w:ascii="TimesNewRomanPSMT" w:hAnsi="TimesNewRomanPSMT" w:cs="TimesNewRomanPSMT"/>
          <w:sz w:val="28"/>
          <w:szCs w:val="28"/>
        </w:rPr>
        <w:t>Finding a small number of abnormal cells in a particular cell population can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be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easily accomplished by flow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cytometry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>. Patients who have been treated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for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leukemia or lymphoma can be monitored for “minimal residual disease”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6F5F70">
        <w:rPr>
          <w:rFonts w:ascii="TimesNewRomanPSMT" w:hAnsi="TimesNewRomanPSMT" w:cs="TimesNewRomanPSMT"/>
          <w:sz w:val="28"/>
          <w:szCs w:val="28"/>
        </w:rPr>
        <w:t>(MRD) because statistically significant rare cell events can be easily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detected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>. Likewise, in the case of a fetal-maternal hemorrhage, using flow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spellStart"/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lastRenderedPageBreak/>
        <w:t>cytometry</w:t>
      </w:r>
      <w:proofErr w:type="spellEnd"/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to detect hemoglobin F-positive cells is much more sensitive than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the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traditional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Kleihauer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>–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Betke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method.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6F5F70">
        <w:rPr>
          <w:rFonts w:ascii="TimesNewRomanPSMT" w:hAnsi="TimesNewRomanPSMT" w:cs="TimesNewRomanPSMT"/>
          <w:sz w:val="28"/>
          <w:szCs w:val="28"/>
        </w:rPr>
        <w:t xml:space="preserve">Additional examples of flow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cytometry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use include the determination of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 xml:space="preserve">DNA content or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ploidy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status of tumor cells.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This analysis can provide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physicians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with important prognostic information.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Ploidy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analysis is also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useful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in examining products of conception for molar pregnancies.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6F5F70">
        <w:rPr>
          <w:rFonts w:ascii="TimesNewRomanPSMT" w:hAnsi="TimesNewRomanPSMT" w:cs="TimesNewRomanPSMT"/>
          <w:sz w:val="28"/>
          <w:szCs w:val="28"/>
        </w:rPr>
        <w:t xml:space="preserve">Flow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cytometry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also has applications in transplant immunology. HLA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typing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and cross-matching for solid-organ transplantation can be performed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by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flow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cytometry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much faster and more accurately than other serological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 xml:space="preserve">methods </w:t>
      </w:r>
      <w:r w:rsidR="006F5F70">
        <w:rPr>
          <w:rFonts w:ascii="TimesNewRomanPSMT" w:hAnsi="TimesNewRomanPSMT" w:cs="TimesNewRomanPSMT"/>
          <w:sz w:val="28"/>
          <w:szCs w:val="28"/>
        </w:rPr>
        <w:t>.</w:t>
      </w:r>
      <w:proofErr w:type="gramEnd"/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6F5F70">
        <w:rPr>
          <w:rFonts w:ascii="TimesNewRomanPSMT" w:hAnsi="TimesNewRomanPSMT" w:cs="TimesNewRomanPSMT"/>
          <w:sz w:val="28"/>
          <w:szCs w:val="28"/>
        </w:rPr>
        <w:t>Finally, other important uses for flow technology in clinical diagnosis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involve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cytometric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bead arrays. In this technology, beads of various sizes and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different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fluorescent levels are used to identify multiple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analytes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at the same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time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. Theoretically, this technology has the potential to detect 100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analytes</w:t>
      </w:r>
      <w:proofErr w:type="spellEnd"/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from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a single blood sample.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6F5F70">
        <w:rPr>
          <w:rFonts w:ascii="TimesNewRomanPSMT" w:hAnsi="TimesNewRomanPSMT" w:cs="TimesNewRomanPSMT"/>
          <w:sz w:val="28"/>
          <w:szCs w:val="28"/>
        </w:rPr>
        <w:t>For example, in testing for anti-nuclear antibodies, different colored beads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can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be coated with different nuclear antigens. Patient serum is then added,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followed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by fluorescent anti-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IgG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>. If the patient has a particular anti-nuclear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antibody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>, the respective bead will fluoresce and can be identified and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 xml:space="preserve">quantitated </w:t>
      </w:r>
      <w:r w:rsidR="006F5F70">
        <w:rPr>
          <w:rFonts w:ascii="TimesNewRomanPSMT" w:hAnsi="TimesNewRomanPSMT" w:cs="TimesNewRomanPSMT"/>
          <w:sz w:val="28"/>
          <w:szCs w:val="28"/>
        </w:rPr>
        <w:t>.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Similarly, molecular techniques such as</w:t>
      </w:r>
      <w:r w:rsidR="006F5F70">
        <w:rPr>
          <w:rFonts w:ascii="TimesNewRomanPSMT" w:hAnsi="TimesNewRomanPSMT" w:cs="TimesNewRomanPSMT"/>
          <w:sz w:val="28"/>
          <w:szCs w:val="28"/>
        </w:rPr>
        <w:t xml:space="preserve"> </w:t>
      </w:r>
      <w:r w:rsidRPr="006F5F70">
        <w:rPr>
          <w:rFonts w:ascii="TimesNewRomanPSMT" w:hAnsi="TimesNewRomanPSMT" w:cs="TimesNewRomanPSMT"/>
          <w:sz w:val="28"/>
          <w:szCs w:val="28"/>
        </w:rPr>
        <w:t>polymerase chain reaction (PCR) and hybridization can be performed on</w:t>
      </w:r>
      <w:r w:rsidR="006F5F70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cytometric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beads to detect viral nucleic acids and various genetic mutations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6F5F70">
        <w:rPr>
          <w:rFonts w:ascii="TimesNewRomanPSMT" w:hAnsi="TimesNewRomanPSMT" w:cs="TimesNewRomanPSMT"/>
          <w:sz w:val="28"/>
          <w:szCs w:val="28"/>
        </w:rPr>
        <w:t xml:space="preserve">Flow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cytometry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 xml:space="preserve"> relies on the use of fluorescent-labeled monoclonal and</w:t>
      </w:r>
    </w:p>
    <w:p w:rsidR="00820E78" w:rsidRPr="006F5F70" w:rsidRDefault="00820E78" w:rsidP="006F5F70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polyclonal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antibodies. Monoclonal antibodies are preferable to polyclonal</w:t>
      </w:r>
    </w:p>
    <w:p w:rsidR="006F5F70" w:rsidRPr="006F5F70" w:rsidRDefault="00820E78" w:rsidP="006F5F7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6F5F70">
        <w:rPr>
          <w:rFonts w:ascii="TimesNewRomanPSMT" w:hAnsi="TimesNewRomanPSMT" w:cs="TimesNewRomanPSMT"/>
          <w:sz w:val="28"/>
          <w:szCs w:val="28"/>
        </w:rPr>
        <w:t>antibodies</w:t>
      </w:r>
      <w:proofErr w:type="gramEnd"/>
      <w:r w:rsidRPr="006F5F70">
        <w:rPr>
          <w:rFonts w:ascii="TimesNewRomanPSMT" w:hAnsi="TimesNewRomanPSMT" w:cs="TimesNewRomanPSMT"/>
          <w:sz w:val="28"/>
          <w:szCs w:val="28"/>
        </w:rPr>
        <w:t xml:space="preserve"> for </w:t>
      </w:r>
      <w:proofErr w:type="spellStart"/>
      <w:r w:rsidRPr="006F5F70">
        <w:rPr>
          <w:rFonts w:ascii="TimesNewRomanPSMT" w:hAnsi="TimesNewRomanPSMT" w:cs="TimesNewRomanPSMT"/>
          <w:sz w:val="28"/>
          <w:szCs w:val="28"/>
        </w:rPr>
        <w:t>immunophenotyping</w:t>
      </w:r>
      <w:proofErr w:type="spellEnd"/>
      <w:r w:rsidRPr="006F5F70">
        <w:rPr>
          <w:rFonts w:ascii="TimesNewRomanPSMT" w:hAnsi="TimesNewRomanPSMT" w:cs="TimesNewRomanPSMT"/>
          <w:sz w:val="28"/>
          <w:szCs w:val="28"/>
        </w:rPr>
        <w:t>. The commercial availability of</w:t>
      </w:r>
      <w:r w:rsidR="006F5F70">
        <w:rPr>
          <w:rFonts w:ascii="TimesNewRomanPSMT" w:hAnsi="TimesNewRomanPSMT" w:cs="TimesNewRomanPSMT"/>
          <w:sz w:val="28"/>
          <w:szCs w:val="28"/>
        </w:rPr>
        <w:t xml:space="preserve"> </w:t>
      </w:r>
      <w:r w:rsidRPr="006F5F70">
        <w:rPr>
          <w:rFonts w:ascii="TimesNewRomanPSMT" w:hAnsi="TimesNewRomanPSMT" w:cs="TimesNewRomanPSMT"/>
          <w:sz w:val="28"/>
          <w:szCs w:val="28"/>
        </w:rPr>
        <w:t xml:space="preserve">monoclonal antibody reagents has </w:t>
      </w:r>
      <w:r w:rsidR="006F5F70" w:rsidRPr="006F5F70">
        <w:rPr>
          <w:rFonts w:asciiTheme="majorBidi" w:hAnsiTheme="majorBidi" w:cstheme="majorBidi"/>
          <w:color w:val="000000"/>
          <w:sz w:val="28"/>
          <w:szCs w:val="28"/>
        </w:rPr>
        <w:t>contributed greatly to the accuracy of flow</w:t>
      </w:r>
      <w:r w:rsidR="006F5F7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6F5F70" w:rsidRPr="006F5F70">
        <w:rPr>
          <w:rFonts w:asciiTheme="majorBidi" w:hAnsiTheme="majorBidi" w:cstheme="majorBidi"/>
          <w:color w:val="000000"/>
          <w:sz w:val="28"/>
          <w:szCs w:val="28"/>
        </w:rPr>
        <w:t>cytometry</w:t>
      </w:r>
      <w:proofErr w:type="spellEnd"/>
      <w:r w:rsidR="006F5F70" w:rsidRPr="006F5F70">
        <w:rPr>
          <w:rFonts w:asciiTheme="majorBidi" w:hAnsiTheme="majorBidi" w:cstheme="majorBidi"/>
          <w:color w:val="000000"/>
          <w:sz w:val="28"/>
          <w:szCs w:val="28"/>
        </w:rPr>
        <w:t xml:space="preserve"> and has widened its use.</w:t>
      </w:r>
    </w:p>
    <w:p w:rsidR="006F5F70" w:rsidRPr="006F5F70" w:rsidRDefault="006F5F70" w:rsidP="006F5F7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FFFF"/>
          <w:sz w:val="28"/>
          <w:szCs w:val="28"/>
        </w:rPr>
      </w:pPr>
      <w:r w:rsidRPr="006F5F70">
        <w:rPr>
          <w:rFonts w:asciiTheme="majorBidi" w:hAnsiTheme="majorBidi" w:cstheme="majorBidi"/>
          <w:b/>
          <w:bCs/>
          <w:color w:val="FFFFFF"/>
          <w:sz w:val="28"/>
          <w:szCs w:val="28"/>
        </w:rPr>
        <w:t>Connections</w:t>
      </w:r>
    </w:p>
    <w:sectPr w:rsidR="006F5F70" w:rsidRPr="006F5F70" w:rsidSect="001E2F70">
      <w:footerReference w:type="default" r:id="rId23"/>
      <w:pgSz w:w="12240" w:h="15840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856" w:rsidRDefault="00290856" w:rsidP="00817BAC">
      <w:pPr>
        <w:spacing w:after="0" w:line="240" w:lineRule="auto"/>
      </w:pPr>
      <w:r>
        <w:separator/>
      </w:r>
    </w:p>
  </w:endnote>
  <w:endnote w:type="continuationSeparator" w:id="0">
    <w:p w:rsidR="00290856" w:rsidRDefault="00290856" w:rsidP="0081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725987233"/>
      <w:docPartObj>
        <w:docPartGallery w:val="Page Numbers (Bottom of Page)"/>
        <w:docPartUnique/>
      </w:docPartObj>
    </w:sdtPr>
    <w:sdtContent>
      <w:p w:rsidR="00817BAC" w:rsidRDefault="00817B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F70">
          <w:rPr>
            <w:noProof/>
            <w:rtl/>
          </w:rPr>
          <w:t>23</w:t>
        </w:r>
        <w:r>
          <w:rPr>
            <w:noProof/>
          </w:rPr>
          <w:fldChar w:fldCharType="end"/>
        </w:r>
      </w:p>
    </w:sdtContent>
  </w:sdt>
  <w:p w:rsidR="00817BAC" w:rsidRDefault="00817B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856" w:rsidRDefault="00290856" w:rsidP="00817BAC">
      <w:pPr>
        <w:spacing w:after="0" w:line="240" w:lineRule="auto"/>
      </w:pPr>
      <w:r>
        <w:separator/>
      </w:r>
    </w:p>
  </w:footnote>
  <w:footnote w:type="continuationSeparator" w:id="0">
    <w:p w:rsidR="00290856" w:rsidRDefault="00290856" w:rsidP="00817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1D7"/>
    <w:rsid w:val="00000632"/>
    <w:rsid w:val="000076D2"/>
    <w:rsid w:val="0001018A"/>
    <w:rsid w:val="000102BB"/>
    <w:rsid w:val="00010E76"/>
    <w:rsid w:val="00012416"/>
    <w:rsid w:val="00013814"/>
    <w:rsid w:val="00014825"/>
    <w:rsid w:val="00015EB3"/>
    <w:rsid w:val="00016142"/>
    <w:rsid w:val="00016816"/>
    <w:rsid w:val="000204ED"/>
    <w:rsid w:val="0002215B"/>
    <w:rsid w:val="00022503"/>
    <w:rsid w:val="000247E0"/>
    <w:rsid w:val="00025E09"/>
    <w:rsid w:val="00027C92"/>
    <w:rsid w:val="00027C9B"/>
    <w:rsid w:val="000300CC"/>
    <w:rsid w:val="00035E2C"/>
    <w:rsid w:val="00037836"/>
    <w:rsid w:val="00041417"/>
    <w:rsid w:val="0004368F"/>
    <w:rsid w:val="000446D4"/>
    <w:rsid w:val="0004611A"/>
    <w:rsid w:val="000465ED"/>
    <w:rsid w:val="000477D9"/>
    <w:rsid w:val="000520D3"/>
    <w:rsid w:val="00052D55"/>
    <w:rsid w:val="00053E81"/>
    <w:rsid w:val="00054369"/>
    <w:rsid w:val="00056247"/>
    <w:rsid w:val="000572E9"/>
    <w:rsid w:val="00061245"/>
    <w:rsid w:val="0006161A"/>
    <w:rsid w:val="00065765"/>
    <w:rsid w:val="00067E59"/>
    <w:rsid w:val="000702DA"/>
    <w:rsid w:val="00070AD9"/>
    <w:rsid w:val="00070DAA"/>
    <w:rsid w:val="0007215D"/>
    <w:rsid w:val="00072661"/>
    <w:rsid w:val="000739EC"/>
    <w:rsid w:val="00084370"/>
    <w:rsid w:val="0008489E"/>
    <w:rsid w:val="00084A02"/>
    <w:rsid w:val="00085E4A"/>
    <w:rsid w:val="00086EB2"/>
    <w:rsid w:val="00086F28"/>
    <w:rsid w:val="000901DA"/>
    <w:rsid w:val="00090855"/>
    <w:rsid w:val="00091702"/>
    <w:rsid w:val="0009245A"/>
    <w:rsid w:val="00093C10"/>
    <w:rsid w:val="000971D7"/>
    <w:rsid w:val="000A3673"/>
    <w:rsid w:val="000A5B04"/>
    <w:rsid w:val="000A62C0"/>
    <w:rsid w:val="000B139E"/>
    <w:rsid w:val="000B175E"/>
    <w:rsid w:val="000B2373"/>
    <w:rsid w:val="000B2C47"/>
    <w:rsid w:val="000B3336"/>
    <w:rsid w:val="000B3E6C"/>
    <w:rsid w:val="000B5122"/>
    <w:rsid w:val="000B6E41"/>
    <w:rsid w:val="000B7190"/>
    <w:rsid w:val="000B783B"/>
    <w:rsid w:val="000C4BCA"/>
    <w:rsid w:val="000C76BD"/>
    <w:rsid w:val="000D2CAE"/>
    <w:rsid w:val="000D379D"/>
    <w:rsid w:val="000D4DEE"/>
    <w:rsid w:val="000D6506"/>
    <w:rsid w:val="000E00DF"/>
    <w:rsid w:val="000E0816"/>
    <w:rsid w:val="000E2A99"/>
    <w:rsid w:val="000E2D87"/>
    <w:rsid w:val="000E66BD"/>
    <w:rsid w:val="000F1312"/>
    <w:rsid w:val="000F2F9E"/>
    <w:rsid w:val="000F5618"/>
    <w:rsid w:val="000F7F7D"/>
    <w:rsid w:val="00100C5E"/>
    <w:rsid w:val="0010176B"/>
    <w:rsid w:val="00104591"/>
    <w:rsid w:val="00110EFF"/>
    <w:rsid w:val="00111325"/>
    <w:rsid w:val="00111DC7"/>
    <w:rsid w:val="00113728"/>
    <w:rsid w:val="0011462A"/>
    <w:rsid w:val="001147D5"/>
    <w:rsid w:val="00114B3A"/>
    <w:rsid w:val="00117207"/>
    <w:rsid w:val="00117366"/>
    <w:rsid w:val="00117A55"/>
    <w:rsid w:val="00120746"/>
    <w:rsid w:val="00122F20"/>
    <w:rsid w:val="0012486A"/>
    <w:rsid w:val="0012553A"/>
    <w:rsid w:val="00126C31"/>
    <w:rsid w:val="00126DFA"/>
    <w:rsid w:val="001311E5"/>
    <w:rsid w:val="001328DD"/>
    <w:rsid w:val="001331F5"/>
    <w:rsid w:val="00133AD2"/>
    <w:rsid w:val="00133E1E"/>
    <w:rsid w:val="00134BD8"/>
    <w:rsid w:val="00136624"/>
    <w:rsid w:val="00141282"/>
    <w:rsid w:val="00141C78"/>
    <w:rsid w:val="00142656"/>
    <w:rsid w:val="0014414B"/>
    <w:rsid w:val="00145503"/>
    <w:rsid w:val="001465B2"/>
    <w:rsid w:val="001479BC"/>
    <w:rsid w:val="00150659"/>
    <w:rsid w:val="00150A19"/>
    <w:rsid w:val="0015166E"/>
    <w:rsid w:val="00151721"/>
    <w:rsid w:val="0015362F"/>
    <w:rsid w:val="0015512C"/>
    <w:rsid w:val="00155E00"/>
    <w:rsid w:val="00156EB0"/>
    <w:rsid w:val="0016094B"/>
    <w:rsid w:val="00162255"/>
    <w:rsid w:val="0016285E"/>
    <w:rsid w:val="001628FF"/>
    <w:rsid w:val="00162C19"/>
    <w:rsid w:val="00167302"/>
    <w:rsid w:val="00170729"/>
    <w:rsid w:val="0017275D"/>
    <w:rsid w:val="00175929"/>
    <w:rsid w:val="00175C62"/>
    <w:rsid w:val="00176C51"/>
    <w:rsid w:val="00177ED2"/>
    <w:rsid w:val="00184737"/>
    <w:rsid w:val="00185B96"/>
    <w:rsid w:val="001865F7"/>
    <w:rsid w:val="0018761A"/>
    <w:rsid w:val="00187ABA"/>
    <w:rsid w:val="0019043E"/>
    <w:rsid w:val="00193F4D"/>
    <w:rsid w:val="0019571E"/>
    <w:rsid w:val="00195D9A"/>
    <w:rsid w:val="00197B36"/>
    <w:rsid w:val="001A2A11"/>
    <w:rsid w:val="001A3331"/>
    <w:rsid w:val="001A5522"/>
    <w:rsid w:val="001A5F3E"/>
    <w:rsid w:val="001A6269"/>
    <w:rsid w:val="001A6537"/>
    <w:rsid w:val="001A7700"/>
    <w:rsid w:val="001B0603"/>
    <w:rsid w:val="001B1896"/>
    <w:rsid w:val="001B2F8C"/>
    <w:rsid w:val="001B3E18"/>
    <w:rsid w:val="001B4667"/>
    <w:rsid w:val="001B468A"/>
    <w:rsid w:val="001B758A"/>
    <w:rsid w:val="001C0A51"/>
    <w:rsid w:val="001C15F3"/>
    <w:rsid w:val="001C2B65"/>
    <w:rsid w:val="001C6160"/>
    <w:rsid w:val="001C6356"/>
    <w:rsid w:val="001C65DD"/>
    <w:rsid w:val="001C6D07"/>
    <w:rsid w:val="001C728B"/>
    <w:rsid w:val="001D26F8"/>
    <w:rsid w:val="001D2B04"/>
    <w:rsid w:val="001D307F"/>
    <w:rsid w:val="001D43E1"/>
    <w:rsid w:val="001D77F3"/>
    <w:rsid w:val="001E2BA7"/>
    <w:rsid w:val="001E2F70"/>
    <w:rsid w:val="001E31BF"/>
    <w:rsid w:val="001E3584"/>
    <w:rsid w:val="001E3A80"/>
    <w:rsid w:val="001E3FCD"/>
    <w:rsid w:val="001E4F00"/>
    <w:rsid w:val="001E5A4B"/>
    <w:rsid w:val="001E5D3A"/>
    <w:rsid w:val="001F5645"/>
    <w:rsid w:val="001F5A18"/>
    <w:rsid w:val="001F720F"/>
    <w:rsid w:val="001F791D"/>
    <w:rsid w:val="001F7DBE"/>
    <w:rsid w:val="00200516"/>
    <w:rsid w:val="0020173A"/>
    <w:rsid w:val="00203A5C"/>
    <w:rsid w:val="002043AE"/>
    <w:rsid w:val="002052A7"/>
    <w:rsid w:val="00206907"/>
    <w:rsid w:val="00211CB8"/>
    <w:rsid w:val="002135FB"/>
    <w:rsid w:val="00216DB5"/>
    <w:rsid w:val="00217C26"/>
    <w:rsid w:val="00220F2A"/>
    <w:rsid w:val="002230DC"/>
    <w:rsid w:val="0022387F"/>
    <w:rsid w:val="0022389F"/>
    <w:rsid w:val="00223CAF"/>
    <w:rsid w:val="00224CC9"/>
    <w:rsid w:val="00227153"/>
    <w:rsid w:val="00227A5F"/>
    <w:rsid w:val="002312B0"/>
    <w:rsid w:val="002314AA"/>
    <w:rsid w:val="002316F2"/>
    <w:rsid w:val="00232868"/>
    <w:rsid w:val="00232DFB"/>
    <w:rsid w:val="00234B3D"/>
    <w:rsid w:val="00236992"/>
    <w:rsid w:val="00240782"/>
    <w:rsid w:val="002411C4"/>
    <w:rsid w:val="0024220C"/>
    <w:rsid w:val="00244E9D"/>
    <w:rsid w:val="00245C32"/>
    <w:rsid w:val="00250D26"/>
    <w:rsid w:val="002569DC"/>
    <w:rsid w:val="00257B32"/>
    <w:rsid w:val="00257D20"/>
    <w:rsid w:val="002605BE"/>
    <w:rsid w:val="002671B6"/>
    <w:rsid w:val="00270D1E"/>
    <w:rsid w:val="00270DDF"/>
    <w:rsid w:val="002802D6"/>
    <w:rsid w:val="002815C2"/>
    <w:rsid w:val="00283F05"/>
    <w:rsid w:val="00285604"/>
    <w:rsid w:val="00290856"/>
    <w:rsid w:val="002949D7"/>
    <w:rsid w:val="0029650C"/>
    <w:rsid w:val="002A1BA9"/>
    <w:rsid w:val="002A253B"/>
    <w:rsid w:val="002A3548"/>
    <w:rsid w:val="002A3938"/>
    <w:rsid w:val="002A6E9A"/>
    <w:rsid w:val="002A7B11"/>
    <w:rsid w:val="002A7BFA"/>
    <w:rsid w:val="002B0643"/>
    <w:rsid w:val="002B17B4"/>
    <w:rsid w:val="002B1839"/>
    <w:rsid w:val="002B1928"/>
    <w:rsid w:val="002B2B63"/>
    <w:rsid w:val="002B3E91"/>
    <w:rsid w:val="002B4340"/>
    <w:rsid w:val="002B43DD"/>
    <w:rsid w:val="002B6D70"/>
    <w:rsid w:val="002C1121"/>
    <w:rsid w:val="002C1997"/>
    <w:rsid w:val="002C282E"/>
    <w:rsid w:val="002C2FE4"/>
    <w:rsid w:val="002C5A07"/>
    <w:rsid w:val="002C7BF4"/>
    <w:rsid w:val="002D0859"/>
    <w:rsid w:val="002D2E79"/>
    <w:rsid w:val="002D30FF"/>
    <w:rsid w:val="002D3102"/>
    <w:rsid w:val="002D3210"/>
    <w:rsid w:val="002D70AF"/>
    <w:rsid w:val="002D7198"/>
    <w:rsid w:val="002E0460"/>
    <w:rsid w:val="002E1AA4"/>
    <w:rsid w:val="002E37FD"/>
    <w:rsid w:val="002E4D6B"/>
    <w:rsid w:val="002E5915"/>
    <w:rsid w:val="002E66F0"/>
    <w:rsid w:val="002F0930"/>
    <w:rsid w:val="002F38EF"/>
    <w:rsid w:val="002F514D"/>
    <w:rsid w:val="002F6998"/>
    <w:rsid w:val="00300AA0"/>
    <w:rsid w:val="00301363"/>
    <w:rsid w:val="003016FC"/>
    <w:rsid w:val="00301F27"/>
    <w:rsid w:val="003043C1"/>
    <w:rsid w:val="003063CC"/>
    <w:rsid w:val="00306465"/>
    <w:rsid w:val="003070E2"/>
    <w:rsid w:val="003072BC"/>
    <w:rsid w:val="00307DDF"/>
    <w:rsid w:val="00310BE4"/>
    <w:rsid w:val="003118D5"/>
    <w:rsid w:val="00311993"/>
    <w:rsid w:val="003176F4"/>
    <w:rsid w:val="003204BC"/>
    <w:rsid w:val="00322EF8"/>
    <w:rsid w:val="0032303A"/>
    <w:rsid w:val="003230F3"/>
    <w:rsid w:val="0032343F"/>
    <w:rsid w:val="00323648"/>
    <w:rsid w:val="0032765A"/>
    <w:rsid w:val="0033531F"/>
    <w:rsid w:val="0033697D"/>
    <w:rsid w:val="0034049D"/>
    <w:rsid w:val="00341739"/>
    <w:rsid w:val="00343227"/>
    <w:rsid w:val="00347228"/>
    <w:rsid w:val="003508CF"/>
    <w:rsid w:val="00351EE3"/>
    <w:rsid w:val="00352076"/>
    <w:rsid w:val="0035282D"/>
    <w:rsid w:val="00353847"/>
    <w:rsid w:val="00360460"/>
    <w:rsid w:val="00362391"/>
    <w:rsid w:val="00364CEC"/>
    <w:rsid w:val="00365AEA"/>
    <w:rsid w:val="00366E59"/>
    <w:rsid w:val="00367E24"/>
    <w:rsid w:val="0037208D"/>
    <w:rsid w:val="00373B4D"/>
    <w:rsid w:val="00374157"/>
    <w:rsid w:val="00374BD4"/>
    <w:rsid w:val="0037693C"/>
    <w:rsid w:val="0037731C"/>
    <w:rsid w:val="003802D3"/>
    <w:rsid w:val="00380523"/>
    <w:rsid w:val="003813C3"/>
    <w:rsid w:val="003829BC"/>
    <w:rsid w:val="0038577D"/>
    <w:rsid w:val="00386EED"/>
    <w:rsid w:val="003870C3"/>
    <w:rsid w:val="003950B7"/>
    <w:rsid w:val="0039513E"/>
    <w:rsid w:val="00396D05"/>
    <w:rsid w:val="003A0786"/>
    <w:rsid w:val="003A27DC"/>
    <w:rsid w:val="003A4B18"/>
    <w:rsid w:val="003B026E"/>
    <w:rsid w:val="003B03D8"/>
    <w:rsid w:val="003B1100"/>
    <w:rsid w:val="003B1B1C"/>
    <w:rsid w:val="003B304B"/>
    <w:rsid w:val="003B3C88"/>
    <w:rsid w:val="003B3EA1"/>
    <w:rsid w:val="003B467E"/>
    <w:rsid w:val="003B5265"/>
    <w:rsid w:val="003B78C4"/>
    <w:rsid w:val="003C07DD"/>
    <w:rsid w:val="003C15DA"/>
    <w:rsid w:val="003C1798"/>
    <w:rsid w:val="003C33C3"/>
    <w:rsid w:val="003C6217"/>
    <w:rsid w:val="003D0F9F"/>
    <w:rsid w:val="003D5271"/>
    <w:rsid w:val="003D58C5"/>
    <w:rsid w:val="003E13A5"/>
    <w:rsid w:val="003E1C61"/>
    <w:rsid w:val="003E36BE"/>
    <w:rsid w:val="003E4589"/>
    <w:rsid w:val="003E59D0"/>
    <w:rsid w:val="003E7B82"/>
    <w:rsid w:val="003E7F25"/>
    <w:rsid w:val="003F1D76"/>
    <w:rsid w:val="003F270C"/>
    <w:rsid w:val="003F304A"/>
    <w:rsid w:val="003F49ED"/>
    <w:rsid w:val="003F7375"/>
    <w:rsid w:val="00404F28"/>
    <w:rsid w:val="00405B0C"/>
    <w:rsid w:val="004078D4"/>
    <w:rsid w:val="00412659"/>
    <w:rsid w:val="00413EE8"/>
    <w:rsid w:val="00415422"/>
    <w:rsid w:val="00420306"/>
    <w:rsid w:val="004204A3"/>
    <w:rsid w:val="00422083"/>
    <w:rsid w:val="004241ED"/>
    <w:rsid w:val="00426F40"/>
    <w:rsid w:val="004271BE"/>
    <w:rsid w:val="004304EF"/>
    <w:rsid w:val="00433781"/>
    <w:rsid w:val="00437491"/>
    <w:rsid w:val="00437D61"/>
    <w:rsid w:val="004407AA"/>
    <w:rsid w:val="00441007"/>
    <w:rsid w:val="0044132B"/>
    <w:rsid w:val="004419B7"/>
    <w:rsid w:val="00441B7B"/>
    <w:rsid w:val="00441F44"/>
    <w:rsid w:val="00450D5F"/>
    <w:rsid w:val="00451A02"/>
    <w:rsid w:val="004520F3"/>
    <w:rsid w:val="00453468"/>
    <w:rsid w:val="00453999"/>
    <w:rsid w:val="00457C36"/>
    <w:rsid w:val="0046093E"/>
    <w:rsid w:val="00462415"/>
    <w:rsid w:val="00462DE1"/>
    <w:rsid w:val="00464F0E"/>
    <w:rsid w:val="004676FC"/>
    <w:rsid w:val="004704A1"/>
    <w:rsid w:val="00470D79"/>
    <w:rsid w:val="00471034"/>
    <w:rsid w:val="004714E6"/>
    <w:rsid w:val="00474F39"/>
    <w:rsid w:val="0047601D"/>
    <w:rsid w:val="00476509"/>
    <w:rsid w:val="004778D2"/>
    <w:rsid w:val="004806EC"/>
    <w:rsid w:val="00480A0E"/>
    <w:rsid w:val="00481D71"/>
    <w:rsid w:val="00481F24"/>
    <w:rsid w:val="00483368"/>
    <w:rsid w:val="0048359E"/>
    <w:rsid w:val="00484617"/>
    <w:rsid w:val="0048697B"/>
    <w:rsid w:val="00491067"/>
    <w:rsid w:val="004922C9"/>
    <w:rsid w:val="00492D23"/>
    <w:rsid w:val="00493869"/>
    <w:rsid w:val="00493B2A"/>
    <w:rsid w:val="00494AB9"/>
    <w:rsid w:val="004968DD"/>
    <w:rsid w:val="00496E15"/>
    <w:rsid w:val="004A34D9"/>
    <w:rsid w:val="004A3513"/>
    <w:rsid w:val="004A3E05"/>
    <w:rsid w:val="004A4807"/>
    <w:rsid w:val="004A4E89"/>
    <w:rsid w:val="004A7231"/>
    <w:rsid w:val="004B0D2B"/>
    <w:rsid w:val="004B21F5"/>
    <w:rsid w:val="004B2234"/>
    <w:rsid w:val="004B26BE"/>
    <w:rsid w:val="004B2F64"/>
    <w:rsid w:val="004B5045"/>
    <w:rsid w:val="004B6DA4"/>
    <w:rsid w:val="004B7428"/>
    <w:rsid w:val="004C2FEF"/>
    <w:rsid w:val="004C631F"/>
    <w:rsid w:val="004C66AF"/>
    <w:rsid w:val="004C6E12"/>
    <w:rsid w:val="004C7E82"/>
    <w:rsid w:val="004D23CC"/>
    <w:rsid w:val="004D444A"/>
    <w:rsid w:val="004D4902"/>
    <w:rsid w:val="004D5711"/>
    <w:rsid w:val="004D6E6C"/>
    <w:rsid w:val="004E0D6D"/>
    <w:rsid w:val="004E1A1F"/>
    <w:rsid w:val="004E4550"/>
    <w:rsid w:val="004E4BDE"/>
    <w:rsid w:val="004F0515"/>
    <w:rsid w:val="004F09F1"/>
    <w:rsid w:val="004F549E"/>
    <w:rsid w:val="004F61C4"/>
    <w:rsid w:val="004F7248"/>
    <w:rsid w:val="0050583C"/>
    <w:rsid w:val="0051071E"/>
    <w:rsid w:val="005110EF"/>
    <w:rsid w:val="00511B67"/>
    <w:rsid w:val="00511FEA"/>
    <w:rsid w:val="005133B7"/>
    <w:rsid w:val="00513E41"/>
    <w:rsid w:val="005205F7"/>
    <w:rsid w:val="005206C8"/>
    <w:rsid w:val="005222CE"/>
    <w:rsid w:val="00523A99"/>
    <w:rsid w:val="00523D0E"/>
    <w:rsid w:val="00525395"/>
    <w:rsid w:val="00527126"/>
    <w:rsid w:val="0053007F"/>
    <w:rsid w:val="005318D9"/>
    <w:rsid w:val="00534247"/>
    <w:rsid w:val="005369E7"/>
    <w:rsid w:val="0054167B"/>
    <w:rsid w:val="00541E08"/>
    <w:rsid w:val="00542FD6"/>
    <w:rsid w:val="005459A1"/>
    <w:rsid w:val="0054622B"/>
    <w:rsid w:val="00546A22"/>
    <w:rsid w:val="00546CB2"/>
    <w:rsid w:val="00547F7D"/>
    <w:rsid w:val="00552578"/>
    <w:rsid w:val="00552D4D"/>
    <w:rsid w:val="00554A87"/>
    <w:rsid w:val="005553E3"/>
    <w:rsid w:val="005564E0"/>
    <w:rsid w:val="00556946"/>
    <w:rsid w:val="00560B9B"/>
    <w:rsid w:val="00560BA3"/>
    <w:rsid w:val="0056149A"/>
    <w:rsid w:val="0056178B"/>
    <w:rsid w:val="005627FD"/>
    <w:rsid w:val="00564047"/>
    <w:rsid w:val="00565C6B"/>
    <w:rsid w:val="00570A5E"/>
    <w:rsid w:val="00570F0F"/>
    <w:rsid w:val="00572529"/>
    <w:rsid w:val="00572736"/>
    <w:rsid w:val="00573436"/>
    <w:rsid w:val="00574086"/>
    <w:rsid w:val="00574210"/>
    <w:rsid w:val="005761A1"/>
    <w:rsid w:val="00583633"/>
    <w:rsid w:val="00583D23"/>
    <w:rsid w:val="00585221"/>
    <w:rsid w:val="00593E17"/>
    <w:rsid w:val="005949A1"/>
    <w:rsid w:val="005955A0"/>
    <w:rsid w:val="00597946"/>
    <w:rsid w:val="005A0A29"/>
    <w:rsid w:val="005A112B"/>
    <w:rsid w:val="005A3F4C"/>
    <w:rsid w:val="005A4B82"/>
    <w:rsid w:val="005A6F33"/>
    <w:rsid w:val="005A7033"/>
    <w:rsid w:val="005B02D3"/>
    <w:rsid w:val="005B1358"/>
    <w:rsid w:val="005B2D10"/>
    <w:rsid w:val="005B47DC"/>
    <w:rsid w:val="005B4BA6"/>
    <w:rsid w:val="005B59BD"/>
    <w:rsid w:val="005C141D"/>
    <w:rsid w:val="005C3D3F"/>
    <w:rsid w:val="005C6793"/>
    <w:rsid w:val="005C71AF"/>
    <w:rsid w:val="005C7401"/>
    <w:rsid w:val="005C7592"/>
    <w:rsid w:val="005D0587"/>
    <w:rsid w:val="005D22E3"/>
    <w:rsid w:val="005E1E93"/>
    <w:rsid w:val="005E2976"/>
    <w:rsid w:val="005E3987"/>
    <w:rsid w:val="005E430B"/>
    <w:rsid w:val="005E5D1B"/>
    <w:rsid w:val="005F08CC"/>
    <w:rsid w:val="005F09B7"/>
    <w:rsid w:val="005F431D"/>
    <w:rsid w:val="005F7A3D"/>
    <w:rsid w:val="005F7EEE"/>
    <w:rsid w:val="00601DD5"/>
    <w:rsid w:val="00603ED3"/>
    <w:rsid w:val="006042FC"/>
    <w:rsid w:val="00604AD6"/>
    <w:rsid w:val="00607FCA"/>
    <w:rsid w:val="00610476"/>
    <w:rsid w:val="00611BE6"/>
    <w:rsid w:val="006127B0"/>
    <w:rsid w:val="00613163"/>
    <w:rsid w:val="00613D89"/>
    <w:rsid w:val="00613E12"/>
    <w:rsid w:val="0061675B"/>
    <w:rsid w:val="00620816"/>
    <w:rsid w:val="00622982"/>
    <w:rsid w:val="00622D9A"/>
    <w:rsid w:val="00622DE1"/>
    <w:rsid w:val="00627D7D"/>
    <w:rsid w:val="0063077B"/>
    <w:rsid w:val="00632542"/>
    <w:rsid w:val="0063319A"/>
    <w:rsid w:val="00637D81"/>
    <w:rsid w:val="00640919"/>
    <w:rsid w:val="00642E37"/>
    <w:rsid w:val="00643794"/>
    <w:rsid w:val="00644076"/>
    <w:rsid w:val="006440CE"/>
    <w:rsid w:val="00645275"/>
    <w:rsid w:val="00650D97"/>
    <w:rsid w:val="00651E1F"/>
    <w:rsid w:val="006523E0"/>
    <w:rsid w:val="0065309F"/>
    <w:rsid w:val="00654FBE"/>
    <w:rsid w:val="006555EE"/>
    <w:rsid w:val="00656017"/>
    <w:rsid w:val="00662CFE"/>
    <w:rsid w:val="00664912"/>
    <w:rsid w:val="00664FF5"/>
    <w:rsid w:val="00666AAE"/>
    <w:rsid w:val="00670906"/>
    <w:rsid w:val="00670FB5"/>
    <w:rsid w:val="0067109C"/>
    <w:rsid w:val="0067199E"/>
    <w:rsid w:val="00671D3B"/>
    <w:rsid w:val="00672A58"/>
    <w:rsid w:val="00673E1D"/>
    <w:rsid w:val="0067746B"/>
    <w:rsid w:val="00681DD0"/>
    <w:rsid w:val="00683CC1"/>
    <w:rsid w:val="00686542"/>
    <w:rsid w:val="00691FDE"/>
    <w:rsid w:val="00692BF9"/>
    <w:rsid w:val="00693F9B"/>
    <w:rsid w:val="0069465F"/>
    <w:rsid w:val="00695E88"/>
    <w:rsid w:val="00695F90"/>
    <w:rsid w:val="00696938"/>
    <w:rsid w:val="00696D61"/>
    <w:rsid w:val="00697116"/>
    <w:rsid w:val="0069783C"/>
    <w:rsid w:val="006A017C"/>
    <w:rsid w:val="006A2EEE"/>
    <w:rsid w:val="006A37AE"/>
    <w:rsid w:val="006A55F1"/>
    <w:rsid w:val="006A6B1F"/>
    <w:rsid w:val="006B01D0"/>
    <w:rsid w:val="006B642B"/>
    <w:rsid w:val="006B6E2F"/>
    <w:rsid w:val="006C0C9C"/>
    <w:rsid w:val="006C0DF5"/>
    <w:rsid w:val="006C29C7"/>
    <w:rsid w:val="006C3FC8"/>
    <w:rsid w:val="006C459B"/>
    <w:rsid w:val="006C4DD4"/>
    <w:rsid w:val="006C67E2"/>
    <w:rsid w:val="006D16A1"/>
    <w:rsid w:val="006D2115"/>
    <w:rsid w:val="006D5D41"/>
    <w:rsid w:val="006D6AC0"/>
    <w:rsid w:val="006D6F17"/>
    <w:rsid w:val="006E16E5"/>
    <w:rsid w:val="006E1722"/>
    <w:rsid w:val="006E3A87"/>
    <w:rsid w:val="006E5C02"/>
    <w:rsid w:val="006E653A"/>
    <w:rsid w:val="006F5F70"/>
    <w:rsid w:val="006F6E1C"/>
    <w:rsid w:val="00700E50"/>
    <w:rsid w:val="00701003"/>
    <w:rsid w:val="00704224"/>
    <w:rsid w:val="00704F0D"/>
    <w:rsid w:val="007062DC"/>
    <w:rsid w:val="007160AD"/>
    <w:rsid w:val="0071729D"/>
    <w:rsid w:val="00717B5B"/>
    <w:rsid w:val="007212C2"/>
    <w:rsid w:val="00724125"/>
    <w:rsid w:val="0072609D"/>
    <w:rsid w:val="00726236"/>
    <w:rsid w:val="007270F4"/>
    <w:rsid w:val="00732E31"/>
    <w:rsid w:val="00735C31"/>
    <w:rsid w:val="00737A8A"/>
    <w:rsid w:val="007433AD"/>
    <w:rsid w:val="00744835"/>
    <w:rsid w:val="007519BB"/>
    <w:rsid w:val="0075212C"/>
    <w:rsid w:val="00753ADE"/>
    <w:rsid w:val="00760F94"/>
    <w:rsid w:val="00764078"/>
    <w:rsid w:val="00764210"/>
    <w:rsid w:val="00765E58"/>
    <w:rsid w:val="00765FAA"/>
    <w:rsid w:val="00767D7F"/>
    <w:rsid w:val="0077115D"/>
    <w:rsid w:val="00776398"/>
    <w:rsid w:val="00776405"/>
    <w:rsid w:val="00780456"/>
    <w:rsid w:val="00781774"/>
    <w:rsid w:val="007818A9"/>
    <w:rsid w:val="00781D1E"/>
    <w:rsid w:val="00782080"/>
    <w:rsid w:val="0078349A"/>
    <w:rsid w:val="007847AE"/>
    <w:rsid w:val="00784CF4"/>
    <w:rsid w:val="007859C1"/>
    <w:rsid w:val="00786C6E"/>
    <w:rsid w:val="007873B4"/>
    <w:rsid w:val="0079164B"/>
    <w:rsid w:val="00791FC0"/>
    <w:rsid w:val="00792817"/>
    <w:rsid w:val="007946F6"/>
    <w:rsid w:val="00797006"/>
    <w:rsid w:val="00797A7D"/>
    <w:rsid w:val="007A1A02"/>
    <w:rsid w:val="007A1CBD"/>
    <w:rsid w:val="007A281B"/>
    <w:rsid w:val="007A403B"/>
    <w:rsid w:val="007A4EC4"/>
    <w:rsid w:val="007A6966"/>
    <w:rsid w:val="007A7700"/>
    <w:rsid w:val="007B142A"/>
    <w:rsid w:val="007B475F"/>
    <w:rsid w:val="007B65B1"/>
    <w:rsid w:val="007C29F3"/>
    <w:rsid w:val="007C3919"/>
    <w:rsid w:val="007C4770"/>
    <w:rsid w:val="007C556B"/>
    <w:rsid w:val="007C566E"/>
    <w:rsid w:val="007C78EA"/>
    <w:rsid w:val="007D1BF2"/>
    <w:rsid w:val="007D5855"/>
    <w:rsid w:val="007E0BF2"/>
    <w:rsid w:val="007E2147"/>
    <w:rsid w:val="007E26D6"/>
    <w:rsid w:val="007E3EF9"/>
    <w:rsid w:val="007E4F61"/>
    <w:rsid w:val="007E7244"/>
    <w:rsid w:val="007F261A"/>
    <w:rsid w:val="007F379B"/>
    <w:rsid w:val="007F5430"/>
    <w:rsid w:val="007F5E9D"/>
    <w:rsid w:val="007F61CE"/>
    <w:rsid w:val="007F6D43"/>
    <w:rsid w:val="00800B44"/>
    <w:rsid w:val="008016B8"/>
    <w:rsid w:val="0080176C"/>
    <w:rsid w:val="00801E5A"/>
    <w:rsid w:val="00802FDF"/>
    <w:rsid w:val="00804E3C"/>
    <w:rsid w:val="008051CF"/>
    <w:rsid w:val="0080656D"/>
    <w:rsid w:val="008105AB"/>
    <w:rsid w:val="0081081D"/>
    <w:rsid w:val="008115DC"/>
    <w:rsid w:val="00813E53"/>
    <w:rsid w:val="00814CDA"/>
    <w:rsid w:val="00815616"/>
    <w:rsid w:val="00815960"/>
    <w:rsid w:val="0081754A"/>
    <w:rsid w:val="00817BAC"/>
    <w:rsid w:val="00817DD1"/>
    <w:rsid w:val="00820E78"/>
    <w:rsid w:val="00821055"/>
    <w:rsid w:val="0082410D"/>
    <w:rsid w:val="008249D5"/>
    <w:rsid w:val="00824CA6"/>
    <w:rsid w:val="00826B22"/>
    <w:rsid w:val="00827E3B"/>
    <w:rsid w:val="008360B5"/>
    <w:rsid w:val="008405A7"/>
    <w:rsid w:val="00840B80"/>
    <w:rsid w:val="00840C50"/>
    <w:rsid w:val="00841156"/>
    <w:rsid w:val="00841214"/>
    <w:rsid w:val="0084625C"/>
    <w:rsid w:val="0084661A"/>
    <w:rsid w:val="00847055"/>
    <w:rsid w:val="008506EF"/>
    <w:rsid w:val="0085157E"/>
    <w:rsid w:val="00853FC4"/>
    <w:rsid w:val="00855912"/>
    <w:rsid w:val="008566CF"/>
    <w:rsid w:val="00856779"/>
    <w:rsid w:val="00856FFA"/>
    <w:rsid w:val="008604A1"/>
    <w:rsid w:val="00861D3F"/>
    <w:rsid w:val="00863F1A"/>
    <w:rsid w:val="00864198"/>
    <w:rsid w:val="00864D4A"/>
    <w:rsid w:val="00865EC9"/>
    <w:rsid w:val="008661B9"/>
    <w:rsid w:val="00866276"/>
    <w:rsid w:val="00866F73"/>
    <w:rsid w:val="00871E13"/>
    <w:rsid w:val="00872AFA"/>
    <w:rsid w:val="00877145"/>
    <w:rsid w:val="00877471"/>
    <w:rsid w:val="008775E7"/>
    <w:rsid w:val="008808A8"/>
    <w:rsid w:val="00880BFF"/>
    <w:rsid w:val="00881195"/>
    <w:rsid w:val="00881ED0"/>
    <w:rsid w:val="00882730"/>
    <w:rsid w:val="008846A2"/>
    <w:rsid w:val="00885139"/>
    <w:rsid w:val="00885E4E"/>
    <w:rsid w:val="0088763C"/>
    <w:rsid w:val="00890D69"/>
    <w:rsid w:val="00892A27"/>
    <w:rsid w:val="00896E17"/>
    <w:rsid w:val="008974D6"/>
    <w:rsid w:val="008A443E"/>
    <w:rsid w:val="008A69CB"/>
    <w:rsid w:val="008B01E6"/>
    <w:rsid w:val="008B1AFF"/>
    <w:rsid w:val="008B203F"/>
    <w:rsid w:val="008B3299"/>
    <w:rsid w:val="008C010E"/>
    <w:rsid w:val="008C0784"/>
    <w:rsid w:val="008C0A64"/>
    <w:rsid w:val="008C1740"/>
    <w:rsid w:val="008C3163"/>
    <w:rsid w:val="008C3750"/>
    <w:rsid w:val="008C4371"/>
    <w:rsid w:val="008C6235"/>
    <w:rsid w:val="008D04E7"/>
    <w:rsid w:val="008D0F47"/>
    <w:rsid w:val="008D1AC5"/>
    <w:rsid w:val="008D4552"/>
    <w:rsid w:val="008D4F1A"/>
    <w:rsid w:val="008D5976"/>
    <w:rsid w:val="008D5A9C"/>
    <w:rsid w:val="008D74FF"/>
    <w:rsid w:val="008E59E6"/>
    <w:rsid w:val="008F0C91"/>
    <w:rsid w:val="008F342D"/>
    <w:rsid w:val="008F594D"/>
    <w:rsid w:val="008F63D6"/>
    <w:rsid w:val="00900D15"/>
    <w:rsid w:val="00900E58"/>
    <w:rsid w:val="00902025"/>
    <w:rsid w:val="00903084"/>
    <w:rsid w:val="00904576"/>
    <w:rsid w:val="0090488C"/>
    <w:rsid w:val="00906440"/>
    <w:rsid w:val="00912A31"/>
    <w:rsid w:val="00915C26"/>
    <w:rsid w:val="0091656B"/>
    <w:rsid w:val="00920FD7"/>
    <w:rsid w:val="00921C6A"/>
    <w:rsid w:val="00924F18"/>
    <w:rsid w:val="009301BD"/>
    <w:rsid w:val="0093228A"/>
    <w:rsid w:val="00941181"/>
    <w:rsid w:val="0094420D"/>
    <w:rsid w:val="00945F58"/>
    <w:rsid w:val="00946D6D"/>
    <w:rsid w:val="00951AF9"/>
    <w:rsid w:val="00953121"/>
    <w:rsid w:val="00953DA2"/>
    <w:rsid w:val="0095550D"/>
    <w:rsid w:val="00956923"/>
    <w:rsid w:val="0096150C"/>
    <w:rsid w:val="00961AFA"/>
    <w:rsid w:val="00962335"/>
    <w:rsid w:val="009629DD"/>
    <w:rsid w:val="00963800"/>
    <w:rsid w:val="00963E92"/>
    <w:rsid w:val="00964DBE"/>
    <w:rsid w:val="00967654"/>
    <w:rsid w:val="00970A3E"/>
    <w:rsid w:val="00973FD0"/>
    <w:rsid w:val="00974A46"/>
    <w:rsid w:val="00974B85"/>
    <w:rsid w:val="009829A8"/>
    <w:rsid w:val="00982CD0"/>
    <w:rsid w:val="0098387F"/>
    <w:rsid w:val="00984071"/>
    <w:rsid w:val="00984959"/>
    <w:rsid w:val="00986631"/>
    <w:rsid w:val="0099015D"/>
    <w:rsid w:val="00992095"/>
    <w:rsid w:val="00993EB2"/>
    <w:rsid w:val="00995C52"/>
    <w:rsid w:val="00996424"/>
    <w:rsid w:val="009A0BF6"/>
    <w:rsid w:val="009A2450"/>
    <w:rsid w:val="009A44EB"/>
    <w:rsid w:val="009A5100"/>
    <w:rsid w:val="009A67C7"/>
    <w:rsid w:val="009A7E99"/>
    <w:rsid w:val="009B0BF5"/>
    <w:rsid w:val="009B1BA6"/>
    <w:rsid w:val="009B1D54"/>
    <w:rsid w:val="009B33EA"/>
    <w:rsid w:val="009B4290"/>
    <w:rsid w:val="009B4378"/>
    <w:rsid w:val="009C0EC1"/>
    <w:rsid w:val="009C1C65"/>
    <w:rsid w:val="009C1F4F"/>
    <w:rsid w:val="009C2F73"/>
    <w:rsid w:val="009C6D94"/>
    <w:rsid w:val="009C7465"/>
    <w:rsid w:val="009D11E0"/>
    <w:rsid w:val="009D1D7F"/>
    <w:rsid w:val="009D49DF"/>
    <w:rsid w:val="009D78AC"/>
    <w:rsid w:val="009E0393"/>
    <w:rsid w:val="009E0C96"/>
    <w:rsid w:val="009E1584"/>
    <w:rsid w:val="009E20D5"/>
    <w:rsid w:val="009E2D23"/>
    <w:rsid w:val="009E312E"/>
    <w:rsid w:val="009E429A"/>
    <w:rsid w:val="009E475F"/>
    <w:rsid w:val="009E5613"/>
    <w:rsid w:val="009E5D53"/>
    <w:rsid w:val="009F05B0"/>
    <w:rsid w:val="009F0F0C"/>
    <w:rsid w:val="009F5E6F"/>
    <w:rsid w:val="009F662E"/>
    <w:rsid w:val="00A02FFB"/>
    <w:rsid w:val="00A035EB"/>
    <w:rsid w:val="00A04D91"/>
    <w:rsid w:val="00A0638F"/>
    <w:rsid w:val="00A0683B"/>
    <w:rsid w:val="00A06A5F"/>
    <w:rsid w:val="00A1363D"/>
    <w:rsid w:val="00A15C08"/>
    <w:rsid w:val="00A1699D"/>
    <w:rsid w:val="00A21123"/>
    <w:rsid w:val="00A2134B"/>
    <w:rsid w:val="00A22BAE"/>
    <w:rsid w:val="00A22CBE"/>
    <w:rsid w:val="00A22FC8"/>
    <w:rsid w:val="00A23747"/>
    <w:rsid w:val="00A25242"/>
    <w:rsid w:val="00A25E08"/>
    <w:rsid w:val="00A272F2"/>
    <w:rsid w:val="00A30419"/>
    <w:rsid w:val="00A30688"/>
    <w:rsid w:val="00A3175D"/>
    <w:rsid w:val="00A32769"/>
    <w:rsid w:val="00A32CE6"/>
    <w:rsid w:val="00A359EC"/>
    <w:rsid w:val="00A36290"/>
    <w:rsid w:val="00A36EB1"/>
    <w:rsid w:val="00A37D5E"/>
    <w:rsid w:val="00A42255"/>
    <w:rsid w:val="00A438BC"/>
    <w:rsid w:val="00A4479B"/>
    <w:rsid w:val="00A454E7"/>
    <w:rsid w:val="00A45DA3"/>
    <w:rsid w:val="00A473EC"/>
    <w:rsid w:val="00A479EF"/>
    <w:rsid w:val="00A50497"/>
    <w:rsid w:val="00A51ABF"/>
    <w:rsid w:val="00A52F8D"/>
    <w:rsid w:val="00A53126"/>
    <w:rsid w:val="00A5362B"/>
    <w:rsid w:val="00A53CBA"/>
    <w:rsid w:val="00A55F21"/>
    <w:rsid w:val="00A6071E"/>
    <w:rsid w:val="00A61BB6"/>
    <w:rsid w:val="00A61DDF"/>
    <w:rsid w:val="00A61E84"/>
    <w:rsid w:val="00A63931"/>
    <w:rsid w:val="00A64B86"/>
    <w:rsid w:val="00A670FF"/>
    <w:rsid w:val="00A6717E"/>
    <w:rsid w:val="00A67513"/>
    <w:rsid w:val="00A70145"/>
    <w:rsid w:val="00A71B74"/>
    <w:rsid w:val="00A728F4"/>
    <w:rsid w:val="00A7311D"/>
    <w:rsid w:val="00A737A3"/>
    <w:rsid w:val="00A748FB"/>
    <w:rsid w:val="00A76F0F"/>
    <w:rsid w:val="00A77759"/>
    <w:rsid w:val="00A777EC"/>
    <w:rsid w:val="00A77BD8"/>
    <w:rsid w:val="00A80BAB"/>
    <w:rsid w:val="00A85C15"/>
    <w:rsid w:val="00A87502"/>
    <w:rsid w:val="00A91034"/>
    <w:rsid w:val="00A9260A"/>
    <w:rsid w:val="00A92E3F"/>
    <w:rsid w:val="00A948F6"/>
    <w:rsid w:val="00A96DC0"/>
    <w:rsid w:val="00AA0677"/>
    <w:rsid w:val="00AA0ECF"/>
    <w:rsid w:val="00AA1A3A"/>
    <w:rsid w:val="00AA2CFF"/>
    <w:rsid w:val="00AB0E75"/>
    <w:rsid w:val="00AB1850"/>
    <w:rsid w:val="00AB2C40"/>
    <w:rsid w:val="00AB2C85"/>
    <w:rsid w:val="00AB2CB9"/>
    <w:rsid w:val="00AB2EF7"/>
    <w:rsid w:val="00AB4B11"/>
    <w:rsid w:val="00AC1ABA"/>
    <w:rsid w:val="00AC2C0F"/>
    <w:rsid w:val="00AC5A92"/>
    <w:rsid w:val="00AD163A"/>
    <w:rsid w:val="00AD3CBE"/>
    <w:rsid w:val="00AD4C16"/>
    <w:rsid w:val="00AE5505"/>
    <w:rsid w:val="00AE58DD"/>
    <w:rsid w:val="00AE5D7A"/>
    <w:rsid w:val="00AE62E8"/>
    <w:rsid w:val="00AF23B6"/>
    <w:rsid w:val="00AF3D2F"/>
    <w:rsid w:val="00AF4686"/>
    <w:rsid w:val="00AF5379"/>
    <w:rsid w:val="00AF7137"/>
    <w:rsid w:val="00AF77B7"/>
    <w:rsid w:val="00AF77D1"/>
    <w:rsid w:val="00B008D6"/>
    <w:rsid w:val="00B01CA2"/>
    <w:rsid w:val="00B02813"/>
    <w:rsid w:val="00B03442"/>
    <w:rsid w:val="00B0464B"/>
    <w:rsid w:val="00B057D9"/>
    <w:rsid w:val="00B066FF"/>
    <w:rsid w:val="00B06DC5"/>
    <w:rsid w:val="00B13617"/>
    <w:rsid w:val="00B15161"/>
    <w:rsid w:val="00B202C4"/>
    <w:rsid w:val="00B21990"/>
    <w:rsid w:val="00B21D0E"/>
    <w:rsid w:val="00B2327D"/>
    <w:rsid w:val="00B32412"/>
    <w:rsid w:val="00B32D90"/>
    <w:rsid w:val="00B33237"/>
    <w:rsid w:val="00B41842"/>
    <w:rsid w:val="00B41C7B"/>
    <w:rsid w:val="00B424C3"/>
    <w:rsid w:val="00B435AD"/>
    <w:rsid w:val="00B463F8"/>
    <w:rsid w:val="00B5022D"/>
    <w:rsid w:val="00B509AE"/>
    <w:rsid w:val="00B52E50"/>
    <w:rsid w:val="00B55865"/>
    <w:rsid w:val="00B56269"/>
    <w:rsid w:val="00B6323A"/>
    <w:rsid w:val="00B6518D"/>
    <w:rsid w:val="00B66D78"/>
    <w:rsid w:val="00B678CB"/>
    <w:rsid w:val="00B7284F"/>
    <w:rsid w:val="00B81C59"/>
    <w:rsid w:val="00B8470A"/>
    <w:rsid w:val="00B868BE"/>
    <w:rsid w:val="00B91E52"/>
    <w:rsid w:val="00B96637"/>
    <w:rsid w:val="00B9728D"/>
    <w:rsid w:val="00BA3228"/>
    <w:rsid w:val="00BA47F0"/>
    <w:rsid w:val="00BA4EB3"/>
    <w:rsid w:val="00BA54E2"/>
    <w:rsid w:val="00BA5EAC"/>
    <w:rsid w:val="00BA6A75"/>
    <w:rsid w:val="00BA7326"/>
    <w:rsid w:val="00BA7FCB"/>
    <w:rsid w:val="00BB09AF"/>
    <w:rsid w:val="00BB0B62"/>
    <w:rsid w:val="00BB0E7F"/>
    <w:rsid w:val="00BB1A9E"/>
    <w:rsid w:val="00BB378E"/>
    <w:rsid w:val="00BB4B26"/>
    <w:rsid w:val="00BB6719"/>
    <w:rsid w:val="00BB7100"/>
    <w:rsid w:val="00BC12F7"/>
    <w:rsid w:val="00BD061C"/>
    <w:rsid w:val="00BD1C3F"/>
    <w:rsid w:val="00BD41E3"/>
    <w:rsid w:val="00BD6913"/>
    <w:rsid w:val="00BD70C5"/>
    <w:rsid w:val="00BE1E95"/>
    <w:rsid w:val="00BE2278"/>
    <w:rsid w:val="00BE5A6F"/>
    <w:rsid w:val="00BF5407"/>
    <w:rsid w:val="00BF5F7B"/>
    <w:rsid w:val="00BF7AAF"/>
    <w:rsid w:val="00BF7E6E"/>
    <w:rsid w:val="00C00108"/>
    <w:rsid w:val="00C0034C"/>
    <w:rsid w:val="00C0076E"/>
    <w:rsid w:val="00C016AF"/>
    <w:rsid w:val="00C027F7"/>
    <w:rsid w:val="00C0438E"/>
    <w:rsid w:val="00C0444F"/>
    <w:rsid w:val="00C05979"/>
    <w:rsid w:val="00C06985"/>
    <w:rsid w:val="00C1164E"/>
    <w:rsid w:val="00C14ED4"/>
    <w:rsid w:val="00C21096"/>
    <w:rsid w:val="00C22E1E"/>
    <w:rsid w:val="00C261EC"/>
    <w:rsid w:val="00C27DB2"/>
    <w:rsid w:val="00C30254"/>
    <w:rsid w:val="00C30BA9"/>
    <w:rsid w:val="00C31E4A"/>
    <w:rsid w:val="00C357DE"/>
    <w:rsid w:val="00C3605D"/>
    <w:rsid w:val="00C40471"/>
    <w:rsid w:val="00C43C6D"/>
    <w:rsid w:val="00C44370"/>
    <w:rsid w:val="00C51C21"/>
    <w:rsid w:val="00C530E3"/>
    <w:rsid w:val="00C53D7C"/>
    <w:rsid w:val="00C56799"/>
    <w:rsid w:val="00C5724F"/>
    <w:rsid w:val="00C63BE2"/>
    <w:rsid w:val="00C64A37"/>
    <w:rsid w:val="00C650C5"/>
    <w:rsid w:val="00C66658"/>
    <w:rsid w:val="00C676D3"/>
    <w:rsid w:val="00C704FD"/>
    <w:rsid w:val="00C70584"/>
    <w:rsid w:val="00C709CD"/>
    <w:rsid w:val="00C71985"/>
    <w:rsid w:val="00C73306"/>
    <w:rsid w:val="00C76331"/>
    <w:rsid w:val="00C763D6"/>
    <w:rsid w:val="00C7641D"/>
    <w:rsid w:val="00C80C54"/>
    <w:rsid w:val="00C819E6"/>
    <w:rsid w:val="00C8266F"/>
    <w:rsid w:val="00C84D2C"/>
    <w:rsid w:val="00C86C27"/>
    <w:rsid w:val="00C908C2"/>
    <w:rsid w:val="00C90BD4"/>
    <w:rsid w:val="00C92D64"/>
    <w:rsid w:val="00C93F04"/>
    <w:rsid w:val="00C93F84"/>
    <w:rsid w:val="00C954E4"/>
    <w:rsid w:val="00C97126"/>
    <w:rsid w:val="00C97CD2"/>
    <w:rsid w:val="00CA49BC"/>
    <w:rsid w:val="00CB39F3"/>
    <w:rsid w:val="00CB3FA4"/>
    <w:rsid w:val="00CB4593"/>
    <w:rsid w:val="00CB47A1"/>
    <w:rsid w:val="00CB6C82"/>
    <w:rsid w:val="00CB79C1"/>
    <w:rsid w:val="00CB7DCA"/>
    <w:rsid w:val="00CC06DC"/>
    <w:rsid w:val="00CC1C04"/>
    <w:rsid w:val="00CC2F17"/>
    <w:rsid w:val="00CC4568"/>
    <w:rsid w:val="00CC4ECB"/>
    <w:rsid w:val="00CC5074"/>
    <w:rsid w:val="00CC64EF"/>
    <w:rsid w:val="00CD095D"/>
    <w:rsid w:val="00CD674F"/>
    <w:rsid w:val="00CD7582"/>
    <w:rsid w:val="00CD7C00"/>
    <w:rsid w:val="00CE57EE"/>
    <w:rsid w:val="00CE6A1C"/>
    <w:rsid w:val="00CF3E73"/>
    <w:rsid w:val="00CF4111"/>
    <w:rsid w:val="00CF7E2F"/>
    <w:rsid w:val="00D00D90"/>
    <w:rsid w:val="00D01275"/>
    <w:rsid w:val="00D01532"/>
    <w:rsid w:val="00D02D8B"/>
    <w:rsid w:val="00D113AE"/>
    <w:rsid w:val="00D12365"/>
    <w:rsid w:val="00D12452"/>
    <w:rsid w:val="00D1393D"/>
    <w:rsid w:val="00D1449C"/>
    <w:rsid w:val="00D14C17"/>
    <w:rsid w:val="00D1646E"/>
    <w:rsid w:val="00D21FDB"/>
    <w:rsid w:val="00D23D52"/>
    <w:rsid w:val="00D257D7"/>
    <w:rsid w:val="00D26B3C"/>
    <w:rsid w:val="00D31911"/>
    <w:rsid w:val="00D32894"/>
    <w:rsid w:val="00D340F8"/>
    <w:rsid w:val="00D3461B"/>
    <w:rsid w:val="00D35788"/>
    <w:rsid w:val="00D358CA"/>
    <w:rsid w:val="00D3624C"/>
    <w:rsid w:val="00D37273"/>
    <w:rsid w:val="00D37DAC"/>
    <w:rsid w:val="00D37FD9"/>
    <w:rsid w:val="00D40884"/>
    <w:rsid w:val="00D41F0D"/>
    <w:rsid w:val="00D4590A"/>
    <w:rsid w:val="00D45C33"/>
    <w:rsid w:val="00D47C71"/>
    <w:rsid w:val="00D5190F"/>
    <w:rsid w:val="00D51928"/>
    <w:rsid w:val="00D5261D"/>
    <w:rsid w:val="00D528D6"/>
    <w:rsid w:val="00D52FDC"/>
    <w:rsid w:val="00D53A81"/>
    <w:rsid w:val="00D549A6"/>
    <w:rsid w:val="00D5633A"/>
    <w:rsid w:val="00D572C7"/>
    <w:rsid w:val="00D62065"/>
    <w:rsid w:val="00D62C33"/>
    <w:rsid w:val="00D63ECA"/>
    <w:rsid w:val="00D676DE"/>
    <w:rsid w:val="00D71C90"/>
    <w:rsid w:val="00D76130"/>
    <w:rsid w:val="00D76884"/>
    <w:rsid w:val="00D77F85"/>
    <w:rsid w:val="00D81DD5"/>
    <w:rsid w:val="00D839BB"/>
    <w:rsid w:val="00D87C57"/>
    <w:rsid w:val="00D90633"/>
    <w:rsid w:val="00D919A4"/>
    <w:rsid w:val="00D919D7"/>
    <w:rsid w:val="00D921C8"/>
    <w:rsid w:val="00D9489B"/>
    <w:rsid w:val="00DA090E"/>
    <w:rsid w:val="00DA09AE"/>
    <w:rsid w:val="00DA0D48"/>
    <w:rsid w:val="00DA4592"/>
    <w:rsid w:val="00DA6BA5"/>
    <w:rsid w:val="00DB7B86"/>
    <w:rsid w:val="00DC0D9C"/>
    <w:rsid w:val="00DC1392"/>
    <w:rsid w:val="00DC1818"/>
    <w:rsid w:val="00DC250E"/>
    <w:rsid w:val="00DC3012"/>
    <w:rsid w:val="00DC6777"/>
    <w:rsid w:val="00DD0CBC"/>
    <w:rsid w:val="00DD2A70"/>
    <w:rsid w:val="00DD2C61"/>
    <w:rsid w:val="00DD2D7B"/>
    <w:rsid w:val="00DD3C01"/>
    <w:rsid w:val="00DD4E78"/>
    <w:rsid w:val="00DD53F3"/>
    <w:rsid w:val="00DD601D"/>
    <w:rsid w:val="00DD6C80"/>
    <w:rsid w:val="00DE0B6C"/>
    <w:rsid w:val="00DE19BA"/>
    <w:rsid w:val="00DE31E3"/>
    <w:rsid w:val="00DE3228"/>
    <w:rsid w:val="00DE3D69"/>
    <w:rsid w:val="00DE57E8"/>
    <w:rsid w:val="00DE7600"/>
    <w:rsid w:val="00DF33CC"/>
    <w:rsid w:val="00DF6CD0"/>
    <w:rsid w:val="00DF7B84"/>
    <w:rsid w:val="00E00935"/>
    <w:rsid w:val="00E03027"/>
    <w:rsid w:val="00E03B26"/>
    <w:rsid w:val="00E040FB"/>
    <w:rsid w:val="00E140A3"/>
    <w:rsid w:val="00E14A52"/>
    <w:rsid w:val="00E15517"/>
    <w:rsid w:val="00E20406"/>
    <w:rsid w:val="00E22219"/>
    <w:rsid w:val="00E226AB"/>
    <w:rsid w:val="00E26A47"/>
    <w:rsid w:val="00E30FA9"/>
    <w:rsid w:val="00E31039"/>
    <w:rsid w:val="00E40CC5"/>
    <w:rsid w:val="00E41C06"/>
    <w:rsid w:val="00E44922"/>
    <w:rsid w:val="00E46160"/>
    <w:rsid w:val="00E47519"/>
    <w:rsid w:val="00E50118"/>
    <w:rsid w:val="00E526AC"/>
    <w:rsid w:val="00E54461"/>
    <w:rsid w:val="00E55A35"/>
    <w:rsid w:val="00E55A61"/>
    <w:rsid w:val="00E55B98"/>
    <w:rsid w:val="00E57C63"/>
    <w:rsid w:val="00E602C4"/>
    <w:rsid w:val="00E628BD"/>
    <w:rsid w:val="00E63665"/>
    <w:rsid w:val="00E63F53"/>
    <w:rsid w:val="00E668EB"/>
    <w:rsid w:val="00E70014"/>
    <w:rsid w:val="00E70A8D"/>
    <w:rsid w:val="00E70FB9"/>
    <w:rsid w:val="00E71A44"/>
    <w:rsid w:val="00E83244"/>
    <w:rsid w:val="00E85173"/>
    <w:rsid w:val="00E872B6"/>
    <w:rsid w:val="00E87626"/>
    <w:rsid w:val="00E90FE6"/>
    <w:rsid w:val="00E93692"/>
    <w:rsid w:val="00E9476B"/>
    <w:rsid w:val="00E95011"/>
    <w:rsid w:val="00E95453"/>
    <w:rsid w:val="00E954C5"/>
    <w:rsid w:val="00E95540"/>
    <w:rsid w:val="00E95A06"/>
    <w:rsid w:val="00E9697B"/>
    <w:rsid w:val="00EA0C45"/>
    <w:rsid w:val="00EA20EF"/>
    <w:rsid w:val="00EA3510"/>
    <w:rsid w:val="00EA3A4E"/>
    <w:rsid w:val="00EA6ACF"/>
    <w:rsid w:val="00EA73CE"/>
    <w:rsid w:val="00EA791E"/>
    <w:rsid w:val="00EB1D44"/>
    <w:rsid w:val="00EB1DED"/>
    <w:rsid w:val="00EB52CE"/>
    <w:rsid w:val="00EB5569"/>
    <w:rsid w:val="00EB55FC"/>
    <w:rsid w:val="00EC0C49"/>
    <w:rsid w:val="00EC24E5"/>
    <w:rsid w:val="00EC40FC"/>
    <w:rsid w:val="00EC64AC"/>
    <w:rsid w:val="00EC6597"/>
    <w:rsid w:val="00ED1486"/>
    <w:rsid w:val="00ED1AC0"/>
    <w:rsid w:val="00ED227E"/>
    <w:rsid w:val="00ED3A4A"/>
    <w:rsid w:val="00ED3E51"/>
    <w:rsid w:val="00ED3F66"/>
    <w:rsid w:val="00ED4896"/>
    <w:rsid w:val="00EE03F9"/>
    <w:rsid w:val="00EE0784"/>
    <w:rsid w:val="00EE100E"/>
    <w:rsid w:val="00EE3D8B"/>
    <w:rsid w:val="00EE6067"/>
    <w:rsid w:val="00EE63CD"/>
    <w:rsid w:val="00EE78F8"/>
    <w:rsid w:val="00EF1029"/>
    <w:rsid w:val="00EF211E"/>
    <w:rsid w:val="00EF2356"/>
    <w:rsid w:val="00EF3CA0"/>
    <w:rsid w:val="00F01041"/>
    <w:rsid w:val="00F01662"/>
    <w:rsid w:val="00F0475D"/>
    <w:rsid w:val="00F04CA3"/>
    <w:rsid w:val="00F06A6E"/>
    <w:rsid w:val="00F06BAF"/>
    <w:rsid w:val="00F1356B"/>
    <w:rsid w:val="00F15372"/>
    <w:rsid w:val="00F175D8"/>
    <w:rsid w:val="00F17DBB"/>
    <w:rsid w:val="00F2278E"/>
    <w:rsid w:val="00F27009"/>
    <w:rsid w:val="00F275B6"/>
    <w:rsid w:val="00F27F10"/>
    <w:rsid w:val="00F33082"/>
    <w:rsid w:val="00F338FA"/>
    <w:rsid w:val="00F378E8"/>
    <w:rsid w:val="00F4397F"/>
    <w:rsid w:val="00F43A8D"/>
    <w:rsid w:val="00F43E36"/>
    <w:rsid w:val="00F51960"/>
    <w:rsid w:val="00F526D1"/>
    <w:rsid w:val="00F52BDC"/>
    <w:rsid w:val="00F5376F"/>
    <w:rsid w:val="00F56845"/>
    <w:rsid w:val="00F57461"/>
    <w:rsid w:val="00F578D9"/>
    <w:rsid w:val="00F6126C"/>
    <w:rsid w:val="00F6189A"/>
    <w:rsid w:val="00F62DF4"/>
    <w:rsid w:val="00F65635"/>
    <w:rsid w:val="00F6762C"/>
    <w:rsid w:val="00F71330"/>
    <w:rsid w:val="00F72510"/>
    <w:rsid w:val="00F72B19"/>
    <w:rsid w:val="00F7313D"/>
    <w:rsid w:val="00F75719"/>
    <w:rsid w:val="00F8326F"/>
    <w:rsid w:val="00F863E0"/>
    <w:rsid w:val="00F90F3F"/>
    <w:rsid w:val="00F9156A"/>
    <w:rsid w:val="00F93D8D"/>
    <w:rsid w:val="00F93EF2"/>
    <w:rsid w:val="00F95C72"/>
    <w:rsid w:val="00F972B7"/>
    <w:rsid w:val="00FA1ABD"/>
    <w:rsid w:val="00FA1BB6"/>
    <w:rsid w:val="00FA26C7"/>
    <w:rsid w:val="00FA2E00"/>
    <w:rsid w:val="00FA30D1"/>
    <w:rsid w:val="00FA434A"/>
    <w:rsid w:val="00FA5256"/>
    <w:rsid w:val="00FA6929"/>
    <w:rsid w:val="00FA75DA"/>
    <w:rsid w:val="00FA7695"/>
    <w:rsid w:val="00FB008C"/>
    <w:rsid w:val="00FB122E"/>
    <w:rsid w:val="00FB2797"/>
    <w:rsid w:val="00FB3A6E"/>
    <w:rsid w:val="00FB4023"/>
    <w:rsid w:val="00FB43E8"/>
    <w:rsid w:val="00FB487F"/>
    <w:rsid w:val="00FB62BC"/>
    <w:rsid w:val="00FC0E9A"/>
    <w:rsid w:val="00FC13FE"/>
    <w:rsid w:val="00FC1AAD"/>
    <w:rsid w:val="00FC623C"/>
    <w:rsid w:val="00FC730C"/>
    <w:rsid w:val="00FD0CC1"/>
    <w:rsid w:val="00FD0D98"/>
    <w:rsid w:val="00FD3777"/>
    <w:rsid w:val="00FD4934"/>
    <w:rsid w:val="00FD532F"/>
    <w:rsid w:val="00FD782F"/>
    <w:rsid w:val="00FE1623"/>
    <w:rsid w:val="00FE5516"/>
    <w:rsid w:val="00FE73EA"/>
    <w:rsid w:val="00FE7514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7B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BAC"/>
  </w:style>
  <w:style w:type="paragraph" w:styleId="Footer">
    <w:name w:val="footer"/>
    <w:basedOn w:val="Normal"/>
    <w:link w:val="FooterChar"/>
    <w:uiPriority w:val="99"/>
    <w:unhideWhenUsed/>
    <w:rsid w:val="00817B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7B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BAC"/>
  </w:style>
  <w:style w:type="paragraph" w:styleId="Footer">
    <w:name w:val="footer"/>
    <w:basedOn w:val="Normal"/>
    <w:link w:val="FooterChar"/>
    <w:uiPriority w:val="99"/>
    <w:unhideWhenUsed/>
    <w:rsid w:val="00817B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23</Pages>
  <Words>3592</Words>
  <Characters>20478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2023-03-15T19:37:00Z</dcterms:created>
  <dcterms:modified xsi:type="dcterms:W3CDTF">2023-03-15T20:55:00Z</dcterms:modified>
</cp:coreProperties>
</file>