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88" w:rsidRDefault="003C5088" w:rsidP="003C5088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rtl/>
        </w:rPr>
        <w:t>يسري هذا القانون، على : -</w:t>
      </w:r>
    </w:p>
    <w:p w:rsidR="003C5088" w:rsidRDefault="003C5088" w:rsidP="003C5088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color w:val="000000"/>
          <w:rtl/>
        </w:rPr>
        <w:t>اولا – الاحكام والمحررات التنفيذية .</w:t>
      </w:r>
    </w:p>
    <w:p w:rsidR="003C5088" w:rsidRDefault="003C5088" w:rsidP="003C5088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color w:val="000000"/>
          <w:rtl/>
        </w:rPr>
        <w:t>ثانيا – الاحكام الاجنبية القابلة للتنفيذ في العراق، وفقا ل قانون تنفيذ الاحكام الاجنبية، مع مراعاة احكام الاتفاقيات الدولية المعمول بها في العراق .</w:t>
      </w:r>
    </w:p>
    <w:p w:rsidR="003C5088" w:rsidRDefault="003C5088" w:rsidP="003C5088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color w:val="000000"/>
          <w:rtl/>
        </w:rPr>
        <w:t>ثالثا – المسائل الاخرى التي تنص القوانين على سريان قانون التنفيذ عليها .</w:t>
      </w:r>
    </w:p>
    <w:p w:rsidR="003C5088" w:rsidRDefault="003C5088" w:rsidP="003C5088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color w:val="000000"/>
          <w:rtl/>
        </w:rPr>
        <w:t> </w:t>
      </w:r>
    </w:p>
    <w:p w:rsidR="00DF5EFC" w:rsidRDefault="00DF5EFC" w:rsidP="004F1905">
      <w:pPr>
        <w:bidi/>
      </w:pPr>
      <w:bookmarkStart w:id="0" w:name="_GoBack"/>
      <w:bookmarkEnd w:id="0"/>
    </w:p>
    <w:sectPr w:rsidR="00DF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05"/>
    <w:rsid w:val="003C5088"/>
    <w:rsid w:val="004F1905"/>
    <w:rsid w:val="00D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2017-04-18T17:56:00Z</dcterms:created>
  <dcterms:modified xsi:type="dcterms:W3CDTF">2017-04-18T17:56:00Z</dcterms:modified>
</cp:coreProperties>
</file>