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AE039F" w:rsidRPr="0064312C" w:rsidRDefault="00AE039F" w:rsidP="00864E0A">
      <w:pPr>
        <w:jc w:val="center"/>
        <w:rPr>
          <w:rFonts w:ascii="Arial" w:hAnsi="Arial"/>
          <w:b/>
          <w:bCs/>
          <w:sz w:val="32"/>
          <w:szCs w:val="32"/>
          <w:lang w:bidi="ar-IQ"/>
        </w:rPr>
      </w:pPr>
      <w:r w:rsidRPr="0064312C">
        <w:rPr>
          <w:rFonts w:ascii="Arial" w:hAnsi="Arial"/>
          <w:b/>
          <w:bCs/>
          <w:sz w:val="32"/>
          <w:szCs w:val="32"/>
        </w:rPr>
        <w:t>A</w:t>
      </w:r>
      <w:r w:rsidR="00864E0A">
        <w:rPr>
          <w:rFonts w:ascii="Arial" w:hAnsi="Arial"/>
          <w:b/>
          <w:bCs/>
          <w:sz w:val="32"/>
          <w:szCs w:val="32"/>
        </w:rPr>
        <w:t>l-</w:t>
      </w:r>
      <w:proofErr w:type="spellStart"/>
      <w:r w:rsidR="00864E0A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="00864E0A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403A7D" w:rsidRDefault="00403A7D" w:rsidP="00403A7D">
      <w:pPr>
        <w:bidi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AE039F" w:rsidRPr="00403A7D" w:rsidRDefault="00AE039F" w:rsidP="00AE039F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</w:p>
    <w:p w:rsidR="00AE039F" w:rsidRDefault="00AE039F" w:rsidP="00AE039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Lecture  # 1</w:t>
      </w:r>
      <w:r>
        <w:rPr>
          <w:rFonts w:ascii="Arial" w:hAnsi="Arial"/>
          <w:b/>
          <w:bCs/>
          <w:sz w:val="32"/>
          <w:szCs w:val="32"/>
        </w:rPr>
        <w:t>4</w:t>
      </w:r>
    </w:p>
    <w:p w:rsidR="00864E0A" w:rsidRPr="0064312C" w:rsidRDefault="00864E0A" w:rsidP="00AE039F">
      <w:pPr>
        <w:jc w:val="center"/>
        <w:rPr>
          <w:rFonts w:ascii="Arial" w:hAnsi="Arial"/>
          <w:b/>
          <w:bCs/>
          <w:sz w:val="32"/>
          <w:szCs w:val="32"/>
        </w:rPr>
      </w:pPr>
    </w:p>
    <w:p w:rsidR="00AE039F" w:rsidRPr="0064312C" w:rsidRDefault="00AE039F" w:rsidP="00AE039F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Adverbs in English </w:t>
      </w:r>
    </w:p>
    <w:p w:rsidR="00AE039F" w:rsidRDefault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AE039F" w:rsidRDefault="00AE039F" w:rsidP="00AE039F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4C08DC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ADVERBS IN ARABIC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1- Adverbs in Arabic are heterogeneous.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2- They belong traditionally to particles and nouns.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3- Two kinds of particles: inseparable and separable.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4- Inseparable particles is a small group comprising 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AE039F">
        <w:rPr>
          <w:rFonts w:asciiTheme="minorBidi" w:hAnsiTheme="minorBidi"/>
          <w:sz w:val="28"/>
          <w:szCs w:val="28"/>
          <w:lang w:bidi="ar-IQ"/>
        </w:rPr>
        <w:t>i</w:t>
      </w:r>
      <w:proofErr w:type="spellEnd"/>
      <w:r w:rsidRPr="00AE039F">
        <w:rPr>
          <w:rFonts w:asciiTheme="minorBidi" w:hAnsiTheme="minorBidi"/>
          <w:sz w:val="28"/>
          <w:szCs w:val="28"/>
          <w:lang w:bidi="ar-IQ"/>
        </w:rPr>
        <w:t xml:space="preserve">- the interrogative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>الهمزة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ii- the futurity particle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>س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iii- the particle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لا 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as in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 a) oaths 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لا جازينه والله 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b) conditional sentence introduced by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لو 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as in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>لو لا فعلت هذا لندمت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c) emphatic sentences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>لام التوكيد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as in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انه لحكيم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 xml:space="preserve"> These three functions of </w:t>
      </w: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لا 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are attitudinal </w:t>
      </w:r>
      <w:proofErr w:type="spellStart"/>
      <w:r w:rsidRPr="00AE039F">
        <w:rPr>
          <w:rFonts w:asciiTheme="minorBidi" w:hAnsiTheme="minorBidi"/>
          <w:sz w:val="28"/>
          <w:szCs w:val="28"/>
          <w:lang w:bidi="ar-IQ"/>
        </w:rPr>
        <w:t>disjuncts</w:t>
      </w:r>
      <w:proofErr w:type="spellEnd"/>
      <w:r w:rsidRPr="00AE039F">
        <w:rPr>
          <w:rFonts w:asciiTheme="minorBidi" w:hAnsiTheme="minorBidi"/>
          <w:sz w:val="28"/>
          <w:szCs w:val="28"/>
          <w:lang w:bidi="ar-IQ"/>
        </w:rPr>
        <w:t xml:space="preserve"> (certainly)</w:t>
      </w:r>
    </w:p>
    <w:p w:rsidR="004C08DC" w:rsidRPr="00AE039F" w:rsidRDefault="00AE039F" w:rsidP="00AE039F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ADVERBS IN ARABIC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Separable particle adverbs comprise a large . They are 30 particles found in your book.</w:t>
      </w:r>
    </w:p>
    <w:p w:rsidR="004C08DC" w:rsidRPr="00AE039F" w:rsidRDefault="00AE039F" w:rsidP="00AE039F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ADVERBS IN ARABIC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Adverbs are also a subclass of nouns. They are of two kinds: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1- The first kind comprises a small group of nouns which are used either as prepositions (declinable) followed by a genitive noun , or as adverbs, in which case they are always put in the subjective case.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من تحت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من فوق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من قبل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proofErr w:type="spellStart"/>
      <w:r w:rsidRPr="00AE039F">
        <w:rPr>
          <w:rFonts w:asciiTheme="minorBidi" w:hAnsiTheme="minorBidi"/>
          <w:sz w:val="28"/>
          <w:szCs w:val="28"/>
          <w:rtl/>
          <w:lang w:bidi="ar-IQ"/>
        </w:rPr>
        <w:t>الى</w:t>
      </w:r>
      <w:proofErr w:type="spellEnd"/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حيث</w:t>
      </w:r>
      <w:r w:rsidRPr="00AE039F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4C08DC" w:rsidRPr="00AE039F" w:rsidRDefault="00AE039F" w:rsidP="00AE039F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lastRenderedPageBreak/>
        <w:t>ADVERBS IN ARABIC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lang w:bidi="ar-IQ"/>
        </w:rPr>
        <w:t>2- This subtype of adverbs comprises a large group of adverbs which are usually classified by Arab grammarians as nouns. They are in the objective case: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صباحا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مساءا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خارجا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داخلا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ليلا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نهارا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 xml:space="preserve"> شمالا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غدا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جنوبا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لاسيما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AE039F">
        <w:rPr>
          <w:rFonts w:asciiTheme="minorBidi" w:hAnsiTheme="minorBidi"/>
          <w:sz w:val="28"/>
          <w:szCs w:val="28"/>
          <w:rtl/>
          <w:lang w:bidi="ar-IQ"/>
        </w:rPr>
        <w:t>جدا</w:t>
      </w:r>
    </w:p>
    <w:p w:rsidR="00AE039F" w:rsidRPr="00AE039F" w:rsidRDefault="00AE039F" w:rsidP="00AE039F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AE039F">
        <w:rPr>
          <w:rFonts w:asciiTheme="minorBidi" w:hAnsiTheme="minorBidi"/>
          <w:sz w:val="28"/>
          <w:szCs w:val="28"/>
          <w:rtl/>
          <w:lang w:bidi="ar-IQ"/>
        </w:rPr>
        <w:t>لامحالة</w:t>
      </w:r>
      <w:proofErr w:type="spellEnd"/>
      <w:r w:rsidRPr="00AE039F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F91D3A" w:rsidRPr="00AE039F" w:rsidRDefault="00F91D3A" w:rsidP="00AE039F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sectPr w:rsidR="00F91D3A" w:rsidRPr="00AE039F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4F7"/>
    <w:multiLevelType w:val="hybridMultilevel"/>
    <w:tmpl w:val="401847E6"/>
    <w:lvl w:ilvl="0" w:tplc="A6963E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90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87A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CF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803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0CD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84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00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A2038"/>
    <w:multiLevelType w:val="hybridMultilevel"/>
    <w:tmpl w:val="63E6E86C"/>
    <w:lvl w:ilvl="0" w:tplc="0C20A6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4F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E95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C7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B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63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81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0E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E38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E2044"/>
    <w:multiLevelType w:val="hybridMultilevel"/>
    <w:tmpl w:val="0D6E806A"/>
    <w:lvl w:ilvl="0" w:tplc="D6F62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8A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95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B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A8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8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A24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0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D754C"/>
    <w:multiLevelType w:val="hybridMultilevel"/>
    <w:tmpl w:val="6E68F12C"/>
    <w:lvl w:ilvl="0" w:tplc="D7820E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C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25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09F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26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21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D3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A7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E6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39F"/>
    <w:rsid w:val="00403A7D"/>
    <w:rsid w:val="004C08DC"/>
    <w:rsid w:val="00855C68"/>
    <w:rsid w:val="00864E0A"/>
    <w:rsid w:val="00A97391"/>
    <w:rsid w:val="00AE039F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3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2016-12-01T20:05:00Z</dcterms:created>
  <dcterms:modified xsi:type="dcterms:W3CDTF">2016-12-02T16:57:00Z</dcterms:modified>
</cp:coreProperties>
</file>