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4" w:rsidRPr="008F0322" w:rsidRDefault="008F0322" w:rsidP="008F0322">
      <w:pPr>
        <w:jc w:val="right"/>
        <w:rPr>
          <w:rFonts w:hint="cs"/>
          <w:sz w:val="28"/>
          <w:szCs w:val="28"/>
          <w:rtl/>
          <w:lang w:bidi="ar-IQ"/>
        </w:rPr>
      </w:pPr>
      <w:r>
        <w:rPr>
          <w:rFonts w:hint="cs"/>
          <w:rtl/>
          <w:lang w:bidi="ar-IQ"/>
        </w:rPr>
        <w:t>ا</w:t>
      </w:r>
      <w:r w:rsidRPr="008F0322">
        <w:rPr>
          <w:rFonts w:hint="cs"/>
          <w:sz w:val="28"/>
          <w:szCs w:val="28"/>
          <w:rtl/>
          <w:lang w:bidi="ar-IQ"/>
        </w:rPr>
        <w:t xml:space="preserve">لبنوية </w:t>
      </w:r>
      <w:r w:rsidRPr="008F0322">
        <w:rPr>
          <w:sz w:val="28"/>
          <w:szCs w:val="28"/>
          <w:rtl/>
          <w:lang w:bidi="ar-IQ"/>
        </w:rPr>
        <w:t>–</w:t>
      </w:r>
      <w:r w:rsidRPr="008F0322">
        <w:rPr>
          <w:rFonts w:hint="cs"/>
          <w:sz w:val="28"/>
          <w:szCs w:val="28"/>
          <w:rtl/>
          <w:lang w:bidi="ar-IQ"/>
        </w:rPr>
        <w:t xml:space="preserve"> افكار ومعتقدات </w:t>
      </w:r>
    </w:p>
    <w:p w:rsidR="008F0322" w:rsidRDefault="008F0322" w:rsidP="008F0322">
      <w:pPr>
        <w:jc w:val="right"/>
        <w:rPr>
          <w:rFonts w:hint="cs"/>
          <w:rtl/>
          <w:lang w:bidi="ar-IQ"/>
        </w:rPr>
      </w:pPr>
    </w:p>
    <w:p w:rsidR="008F0322" w:rsidRDefault="008F0322" w:rsidP="008F0322">
      <w:pPr>
        <w:jc w:val="right"/>
        <w:rPr>
          <w:rFonts w:hint="cs"/>
          <w:lang w:bidi="ar-IQ"/>
        </w:rPr>
      </w:pPr>
      <w:r>
        <w:rPr>
          <w:color w:val="000000"/>
          <w:sz w:val="36"/>
          <w:szCs w:val="36"/>
        </w:rPr>
        <w:br/>
      </w:r>
      <w:r>
        <w:rPr>
          <w:color w:val="000000"/>
          <w:sz w:val="36"/>
          <w:szCs w:val="36"/>
          <w:shd w:val="clear" w:color="auto" w:fill="FFFFFF"/>
          <w:rtl/>
        </w:rPr>
        <w:t>إن دراسة أي ظاهرة أو تحليلها من الوجهة البنيوية. يعني أن يباشر الدارس أو المحلل وضعها بحيثياتها وتفاصيلها وعناصرها بشكل موضوعي، من غير تدخل فكره أو عقيدته الخاصة في هذا، أو تدخل عوامل خارجية (مثل حياة الكاتب، أو التاريخ) في بنيان النص. وكما يقول البنيويون: "نقطة الارتكاز هي الوثيقة لا الجوانب ولا الإطار</w:t>
      </w:r>
      <w:r>
        <w:rPr>
          <w:color w:val="000000"/>
          <w:sz w:val="36"/>
          <w:szCs w:val="36"/>
          <w:shd w:val="clear" w:color="auto" w:fill="FFFFFF"/>
        </w:rPr>
        <w:t xml:space="preserve"> Test is Contest </w:t>
      </w:r>
      <w:bookmarkStart w:id="0" w:name="_GoBack"/>
      <w:bookmarkEnd w:id="0"/>
      <w:r>
        <w:rPr>
          <w:color w:val="000000"/>
          <w:sz w:val="36"/>
          <w:szCs w:val="36"/>
          <w:shd w:val="clear" w:color="auto" w:fill="FFFFFF"/>
          <w:rtl/>
        </w:rPr>
        <w:t>وأيضاً: "البنية تكتفي بذاتها. ولا يتطلب إدراكها اللجوء إلى أي من العناصر الغريبة عن طبيعتها</w:t>
      </w:r>
      <w:r>
        <w:rPr>
          <w:color w:val="000000"/>
          <w:sz w:val="36"/>
          <w:szCs w:val="36"/>
          <w:shd w:val="clear" w:color="auto" w:fill="FFFFFF"/>
        </w:rPr>
        <w:t>".</w:t>
      </w:r>
      <w:r>
        <w:rPr>
          <w:color w:val="000000"/>
          <w:sz w:val="36"/>
          <w:szCs w:val="36"/>
        </w:rPr>
        <w:br/>
      </w:r>
      <w:r>
        <w:rPr>
          <w:color w:val="000000"/>
          <w:sz w:val="36"/>
          <w:szCs w:val="36"/>
        </w:rPr>
        <w:br/>
      </w:r>
      <w:r>
        <w:rPr>
          <w:color w:val="000000"/>
          <w:sz w:val="36"/>
          <w:szCs w:val="36"/>
          <w:shd w:val="clear" w:color="auto" w:fill="FFFFFF"/>
          <w:rtl/>
        </w:rPr>
        <w:t>وكل ظاهرة – تبعاً للنظرية البنيوية – يمكن أن تشكل بنية بحد ذاتها؛ فالأحرف الصوتية بنية، والضمائر بنية، واستعمال الأفعال بنية.. وهكذا</w:t>
      </w:r>
      <w:r>
        <w:rPr>
          <w:color w:val="000000"/>
          <w:sz w:val="36"/>
          <w:szCs w:val="36"/>
          <w:shd w:val="clear" w:color="auto" w:fill="FFFFFF"/>
        </w:rPr>
        <w:t>.</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تتلاقى المواقف البنيوية عند مبادىء عامة مشتركة لدى المفكرين الغربيين، وفي شتى التطبيقات العملية التي قاموا بها، وهي تكاد تندرج في المحصلات التالية</w:t>
      </w:r>
      <w:proofErr w:type="gramStart"/>
      <w:r>
        <w:rPr>
          <w:color w:val="000000"/>
          <w:sz w:val="36"/>
          <w:szCs w:val="36"/>
          <w:shd w:val="clear" w:color="auto" w:fill="FFFFFF"/>
        </w:rPr>
        <w:t>:</w:t>
      </w:r>
      <w:proofErr w:type="gramEnd"/>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السعي لحل معضلة التنوع والتشتت بالتوصل إلى ثوابت في كل مؤسسة بشرية</w:t>
      </w:r>
      <w:r>
        <w:rPr>
          <w:color w:val="000000"/>
          <w:sz w:val="36"/>
          <w:szCs w:val="36"/>
          <w:shd w:val="clear" w:color="auto" w:fill="FFFFFF"/>
        </w:rPr>
        <w:t>.</w:t>
      </w:r>
      <w:r>
        <w:rPr>
          <w:color w:val="000000"/>
          <w:sz w:val="36"/>
          <w:szCs w:val="36"/>
        </w:rPr>
        <w:br/>
      </w:r>
      <w:r>
        <w:rPr>
          <w:color w:val="000000"/>
          <w:sz w:val="36"/>
          <w:szCs w:val="36"/>
        </w:rPr>
        <w:br/>
      </w:r>
      <w:proofErr w:type="gramStart"/>
      <w:r>
        <w:rPr>
          <w:color w:val="000000"/>
          <w:sz w:val="36"/>
          <w:szCs w:val="36"/>
          <w:shd w:val="clear" w:color="auto" w:fill="FFFFFF"/>
        </w:rPr>
        <w:t xml:space="preserve">- </w:t>
      </w:r>
      <w:r>
        <w:rPr>
          <w:color w:val="000000"/>
          <w:sz w:val="36"/>
          <w:szCs w:val="36"/>
          <w:shd w:val="clear" w:color="auto" w:fill="FFFFFF"/>
          <w:rtl/>
        </w:rPr>
        <w:t>القول بأن فكرة الكلية أو المجموع المنتظم هي أساس البنيوية، والمردُّ التي تؤول إليه في نتيجتها الأخيرة</w:t>
      </w:r>
      <w:r>
        <w:rPr>
          <w:color w:val="000000"/>
          <w:sz w:val="36"/>
          <w:szCs w:val="36"/>
          <w:shd w:val="clear" w:color="auto" w:fill="FFFFFF"/>
        </w:rPr>
        <w:t>.</w:t>
      </w:r>
      <w:proofErr w:type="gramEnd"/>
      <w:r>
        <w:rPr>
          <w:color w:val="000000"/>
          <w:sz w:val="36"/>
          <w:szCs w:val="36"/>
        </w:rPr>
        <w:br/>
      </w:r>
      <w:r>
        <w:rPr>
          <w:color w:val="000000"/>
          <w:sz w:val="36"/>
          <w:szCs w:val="36"/>
        </w:rPr>
        <w:br/>
      </w:r>
      <w:proofErr w:type="gramStart"/>
      <w:r>
        <w:rPr>
          <w:color w:val="000000"/>
          <w:sz w:val="36"/>
          <w:szCs w:val="36"/>
          <w:shd w:val="clear" w:color="auto" w:fill="FFFFFF"/>
        </w:rPr>
        <w:t xml:space="preserve">- </w:t>
      </w:r>
      <w:r>
        <w:rPr>
          <w:color w:val="000000"/>
          <w:sz w:val="36"/>
          <w:szCs w:val="36"/>
          <w:shd w:val="clear" w:color="auto" w:fill="FFFFFF"/>
          <w:rtl/>
        </w:rPr>
        <w:t xml:space="preserve">لئن سارت البنيوية في خط متصاعد منذ نشوئها، وبذل العلماء جهداً كبيراً لاعتمادها أسلوباً في قضايا اللغة، والعلوم الإنسانية والفنون، فإنهم ما اطمأنوا </w:t>
      </w:r>
      <w:r>
        <w:rPr>
          <w:color w:val="000000"/>
          <w:sz w:val="36"/>
          <w:szCs w:val="36"/>
          <w:shd w:val="clear" w:color="auto" w:fill="FFFFFF"/>
          <w:rtl/>
        </w:rPr>
        <w:lastRenderedPageBreak/>
        <w:t>إلى أنهم توصلوا، من خلالها، إلى المنهج الصحيح المؤدي إلى حقائق ثابتة</w:t>
      </w:r>
      <w:r>
        <w:rPr>
          <w:color w:val="000000"/>
          <w:sz w:val="36"/>
          <w:szCs w:val="36"/>
          <w:shd w:val="clear" w:color="auto" w:fill="FFFFFF"/>
        </w:rPr>
        <w:t>.</w:t>
      </w:r>
      <w:proofErr w:type="gramEnd"/>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في مجال النقد الأدبي، فإن النقد البنيوي له اتجاه خاص في دراسة الأثر الأدبي يتخلص: في أن الانفعال والأحكام الوجدانية عاجزة تماماً عن تحقيق ما تنجزه دراسة العناصر الأساسية المكونة لهذا الأثر، لذا يجب أن تفحصه في ذاته، من أجل مضمونه، وسياقه، وترابطه العضوي، فهذا أمرٌ ضروري لا بد منه لاكتشاف ما فيه من ملامح فنية مستقلة في وجودها عن كل ما يحيط بها من عوامل خارجية</w:t>
      </w:r>
      <w:r>
        <w:rPr>
          <w:color w:val="000000"/>
          <w:sz w:val="36"/>
          <w:szCs w:val="36"/>
          <w:shd w:val="clear" w:color="auto" w:fill="FFFFFF"/>
        </w:rPr>
        <w:t>.</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إن البنيوية لم تلتزم حدودها، وآنست في نفسها القدرة على حل جميع المعضلات وتحليل كل الظواهر، حسب منهجها، وكان يخيل إلى البنيويين أن النص لا يحتاج إلا إلى تحليل بنيوي كي تنفتح للناقد كل أبنية معانيه المبهمة أو المتوارية خلف نقاب السطح. في حين أن التحليل البنيوي ليس إلا تحليلاً لمستوى واحد من مستويات تحليل أي بنية رمزية، نصيّة كانت أم غير نصيّة. والأسس الفكرية والعقائدية التي قامت عليها، كلها تعد علوماً مساعدة في تحليل البنية أو الظاهرة، إنسانية كانت أم مأدبية</w:t>
      </w:r>
      <w:r>
        <w:rPr>
          <w:color w:val="000000"/>
          <w:sz w:val="36"/>
          <w:szCs w:val="36"/>
          <w:shd w:val="clear" w:color="auto" w:fill="FFFFFF"/>
        </w:rPr>
        <w:t>.</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لم تهتم البنيوية بالأسس العَقَديَّة والفكرية لأي ظاهرة إنسانية أو أخلاقية أو اجتماعية، ومن هنا يمكن تصنيفها مع المناهج الماديةالإلحادية، مثل مناهج الوضعية في البحث، وإن كانت هي بذاتها ليست عقيدة وإنما منهج وطريقة في البحث</w:t>
      </w:r>
      <w:r>
        <w:rPr>
          <w:color w:val="000000"/>
          <w:sz w:val="36"/>
          <w:szCs w:val="36"/>
          <w:shd w:val="clear" w:color="auto" w:fill="FFFFFF"/>
        </w:rPr>
        <w:t>.</w:t>
      </w:r>
    </w:p>
    <w:sectPr w:rsidR="008F03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2"/>
    <w:rsid w:val="008F0322"/>
    <w:rsid w:val="00B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Company>2o1O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2018-01-05T06:33:00Z</dcterms:created>
  <dcterms:modified xsi:type="dcterms:W3CDTF">2018-01-05T06:35:00Z</dcterms:modified>
</cp:coreProperties>
</file>