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388" w:rsidRPr="00B87388" w:rsidRDefault="00B87388" w:rsidP="00B87388">
      <w:pPr>
        <w:widowControl w:val="0"/>
        <w:bidi/>
        <w:spacing w:after="0" w:line="240" w:lineRule="auto"/>
        <w:ind w:left="560" w:hanging="106"/>
        <w:jc w:val="both"/>
        <w:rPr>
          <w:rFonts w:ascii="Times New Roman" w:eastAsia="Times New Roman" w:hAnsi="Times New Roman" w:cs="Traditional Arabic" w:hint="cs"/>
          <w:b/>
          <w:bCs/>
          <w:color w:val="000000"/>
          <w:sz w:val="48"/>
          <w:szCs w:val="48"/>
          <w:rtl/>
          <w:lang w:eastAsia="ar-SA" w:bidi="ar-IQ"/>
        </w:rPr>
      </w:pPr>
      <w:bookmarkStart w:id="0" w:name="_GoBack"/>
      <w:r w:rsidRPr="00B87388">
        <w:rPr>
          <w:rFonts w:ascii="Times New Roman" w:eastAsia="Times New Roman" w:hAnsi="Times New Roman" w:cs="Traditional Arabic" w:hint="cs"/>
          <w:b/>
          <w:bCs/>
          <w:color w:val="000000"/>
          <w:sz w:val="48"/>
          <w:szCs w:val="48"/>
          <w:rtl/>
          <w:lang w:eastAsia="ar-SA" w:bidi="ar-IQ"/>
        </w:rPr>
        <w:t xml:space="preserve">الجامعة المستنصرية </w:t>
      </w:r>
    </w:p>
    <w:p w:rsidR="00B87388" w:rsidRPr="00B87388" w:rsidRDefault="00B87388" w:rsidP="00B87388">
      <w:pPr>
        <w:widowControl w:val="0"/>
        <w:bidi/>
        <w:spacing w:after="0" w:line="240" w:lineRule="auto"/>
        <w:ind w:left="560" w:hanging="106"/>
        <w:jc w:val="both"/>
        <w:rPr>
          <w:rFonts w:ascii="Times New Roman" w:eastAsia="Times New Roman" w:hAnsi="Times New Roman" w:cs="Traditional Arabic" w:hint="cs"/>
          <w:b/>
          <w:bCs/>
          <w:color w:val="000000"/>
          <w:sz w:val="48"/>
          <w:szCs w:val="48"/>
          <w:rtl/>
          <w:lang w:eastAsia="ar-SA" w:bidi="ar-IQ"/>
        </w:rPr>
      </w:pPr>
      <w:r w:rsidRPr="00B87388">
        <w:rPr>
          <w:rFonts w:ascii="Times New Roman" w:eastAsia="Times New Roman" w:hAnsi="Times New Roman" w:cs="Traditional Arabic" w:hint="cs"/>
          <w:b/>
          <w:bCs/>
          <w:color w:val="000000"/>
          <w:sz w:val="48"/>
          <w:szCs w:val="48"/>
          <w:rtl/>
          <w:lang w:eastAsia="ar-SA" w:bidi="ar-IQ"/>
        </w:rPr>
        <w:t xml:space="preserve">كلية الآداب –قسم اللغة العربية </w:t>
      </w:r>
    </w:p>
    <w:p w:rsidR="00B87388" w:rsidRPr="00B87388" w:rsidRDefault="00B87388" w:rsidP="00B87388">
      <w:pPr>
        <w:widowControl w:val="0"/>
        <w:bidi/>
        <w:spacing w:after="0" w:line="240" w:lineRule="auto"/>
        <w:ind w:left="560" w:hanging="106"/>
        <w:jc w:val="both"/>
        <w:rPr>
          <w:rFonts w:ascii="Times New Roman" w:eastAsia="Times New Roman" w:hAnsi="Times New Roman" w:cs="Traditional Arabic" w:hint="cs"/>
          <w:b/>
          <w:bCs/>
          <w:color w:val="000000"/>
          <w:sz w:val="48"/>
          <w:szCs w:val="48"/>
          <w:rtl/>
          <w:lang w:eastAsia="ar-SA" w:bidi="ar-IQ"/>
        </w:rPr>
      </w:pPr>
      <w:proofErr w:type="gramStart"/>
      <w:r w:rsidRPr="00B87388">
        <w:rPr>
          <w:rFonts w:ascii="Times New Roman" w:eastAsia="Times New Roman" w:hAnsi="Times New Roman" w:cs="Traditional Arabic" w:hint="cs"/>
          <w:b/>
          <w:bCs/>
          <w:color w:val="000000"/>
          <w:sz w:val="48"/>
          <w:szCs w:val="48"/>
          <w:rtl/>
          <w:lang w:eastAsia="ar-SA" w:bidi="ar-IQ"/>
        </w:rPr>
        <w:t>المادة :</w:t>
      </w:r>
      <w:proofErr w:type="gramEnd"/>
      <w:r w:rsidRPr="00B87388">
        <w:rPr>
          <w:rFonts w:ascii="Times New Roman" w:eastAsia="Times New Roman" w:hAnsi="Times New Roman" w:cs="Traditional Arabic" w:hint="cs"/>
          <w:b/>
          <w:bCs/>
          <w:color w:val="000000"/>
          <w:sz w:val="48"/>
          <w:szCs w:val="48"/>
          <w:rtl/>
          <w:lang w:eastAsia="ar-SA" w:bidi="ar-IQ"/>
        </w:rPr>
        <w:t xml:space="preserve"> فقه اللغة </w:t>
      </w:r>
    </w:p>
    <w:p w:rsidR="00B87388" w:rsidRPr="00B87388" w:rsidRDefault="00B87388" w:rsidP="00B87388">
      <w:pPr>
        <w:widowControl w:val="0"/>
        <w:bidi/>
        <w:spacing w:after="0" w:line="240" w:lineRule="auto"/>
        <w:ind w:left="560" w:hanging="106"/>
        <w:jc w:val="both"/>
        <w:rPr>
          <w:rFonts w:ascii="Times New Roman" w:eastAsia="Times New Roman" w:hAnsi="Times New Roman" w:cs="Traditional Arabic"/>
          <w:b/>
          <w:bCs/>
          <w:color w:val="000000"/>
          <w:sz w:val="48"/>
          <w:szCs w:val="48"/>
          <w:rtl/>
          <w:lang w:eastAsia="ar-SA" w:bidi="ar-IQ"/>
        </w:rPr>
      </w:pPr>
      <w:r w:rsidRPr="00B87388">
        <w:rPr>
          <w:rFonts w:ascii="Times New Roman" w:eastAsia="Times New Roman" w:hAnsi="Times New Roman" w:cs="Traditional Arabic" w:hint="cs"/>
          <w:b/>
          <w:bCs/>
          <w:color w:val="000000"/>
          <w:sz w:val="48"/>
          <w:szCs w:val="48"/>
          <w:rtl/>
          <w:lang w:eastAsia="ar-SA" w:bidi="ar-IQ"/>
        </w:rPr>
        <w:t xml:space="preserve">مدرس </w:t>
      </w:r>
      <w:proofErr w:type="gramStart"/>
      <w:r w:rsidRPr="00B87388">
        <w:rPr>
          <w:rFonts w:ascii="Times New Roman" w:eastAsia="Times New Roman" w:hAnsi="Times New Roman" w:cs="Traditional Arabic" w:hint="cs"/>
          <w:b/>
          <w:bCs/>
          <w:color w:val="000000"/>
          <w:sz w:val="48"/>
          <w:szCs w:val="48"/>
          <w:rtl/>
          <w:lang w:eastAsia="ar-SA" w:bidi="ar-IQ"/>
        </w:rPr>
        <w:t>المادة :</w:t>
      </w:r>
      <w:proofErr w:type="gramEnd"/>
      <w:r w:rsidRPr="00B87388">
        <w:rPr>
          <w:rFonts w:ascii="Times New Roman" w:eastAsia="Times New Roman" w:hAnsi="Times New Roman" w:cs="Traditional Arabic" w:hint="cs"/>
          <w:b/>
          <w:bCs/>
          <w:color w:val="000000"/>
          <w:sz w:val="48"/>
          <w:szCs w:val="48"/>
          <w:rtl/>
          <w:lang w:eastAsia="ar-SA" w:bidi="ar-IQ"/>
        </w:rPr>
        <w:t xml:space="preserve"> </w:t>
      </w:r>
      <w:proofErr w:type="spellStart"/>
      <w:r w:rsidRPr="00B87388">
        <w:rPr>
          <w:rFonts w:ascii="Times New Roman" w:eastAsia="Times New Roman" w:hAnsi="Times New Roman" w:cs="Traditional Arabic" w:hint="cs"/>
          <w:b/>
          <w:bCs/>
          <w:color w:val="000000"/>
          <w:sz w:val="48"/>
          <w:szCs w:val="48"/>
          <w:rtl/>
          <w:lang w:eastAsia="ar-SA" w:bidi="ar-IQ"/>
        </w:rPr>
        <w:t>ا.د</w:t>
      </w:r>
      <w:proofErr w:type="spellEnd"/>
      <w:r w:rsidRPr="00B87388">
        <w:rPr>
          <w:rFonts w:ascii="Times New Roman" w:eastAsia="Times New Roman" w:hAnsi="Times New Roman" w:cs="Traditional Arabic" w:hint="cs"/>
          <w:b/>
          <w:bCs/>
          <w:color w:val="000000"/>
          <w:sz w:val="48"/>
          <w:szCs w:val="48"/>
          <w:rtl/>
          <w:lang w:eastAsia="ar-SA" w:bidi="ar-IQ"/>
        </w:rPr>
        <w:t>. صالح هادي</w:t>
      </w:r>
    </w:p>
    <w:p w:rsidR="00B87388" w:rsidRPr="00B87388" w:rsidRDefault="00B87388" w:rsidP="00B87388">
      <w:pPr>
        <w:widowControl w:val="0"/>
        <w:bidi/>
        <w:spacing w:after="0" w:line="240" w:lineRule="auto"/>
        <w:ind w:left="560" w:hanging="106"/>
        <w:jc w:val="both"/>
        <w:rPr>
          <w:rFonts w:ascii="Times New Roman" w:eastAsia="Times New Roman" w:hAnsi="Times New Roman" w:cs="Traditional Arabic"/>
          <w:b/>
          <w:bCs/>
          <w:color w:val="000000"/>
          <w:sz w:val="48"/>
          <w:szCs w:val="48"/>
          <w:rtl/>
          <w:lang w:eastAsia="ar-SA" w:bidi="ar-IQ"/>
        </w:rPr>
      </w:pPr>
      <w:r w:rsidRPr="00B87388">
        <w:rPr>
          <w:rFonts w:ascii="Times New Roman" w:eastAsia="Times New Roman" w:hAnsi="Times New Roman" w:cs="Traditional Arabic" w:hint="cs"/>
          <w:b/>
          <w:bCs/>
          <w:color w:val="000000"/>
          <w:sz w:val="48"/>
          <w:szCs w:val="48"/>
          <w:rtl/>
          <w:lang w:eastAsia="ar-SA" w:bidi="ar-IQ"/>
        </w:rPr>
        <w:t xml:space="preserve">تسلسل المحاضرة </w:t>
      </w:r>
      <w:proofErr w:type="gramStart"/>
      <w:r w:rsidRPr="00B87388">
        <w:rPr>
          <w:rFonts w:ascii="Times New Roman" w:eastAsia="Times New Roman" w:hAnsi="Times New Roman" w:cs="Traditional Arabic" w:hint="cs"/>
          <w:b/>
          <w:bCs/>
          <w:color w:val="000000"/>
          <w:sz w:val="48"/>
          <w:szCs w:val="48"/>
          <w:rtl/>
          <w:lang w:eastAsia="ar-SA" w:bidi="ar-IQ"/>
        </w:rPr>
        <w:t>( 2</w:t>
      </w:r>
      <w:proofErr w:type="gramEnd"/>
      <w:r w:rsidRPr="00B87388">
        <w:rPr>
          <w:rFonts w:ascii="Times New Roman" w:eastAsia="Times New Roman" w:hAnsi="Times New Roman" w:cs="Traditional Arabic" w:hint="cs"/>
          <w:b/>
          <w:bCs/>
          <w:color w:val="000000"/>
          <w:sz w:val="48"/>
          <w:szCs w:val="48"/>
          <w:rtl/>
          <w:lang w:eastAsia="ar-SA" w:bidi="ar-IQ"/>
        </w:rPr>
        <w:t xml:space="preserve">) </w:t>
      </w:r>
    </w:p>
    <w:bookmarkEnd w:id="0"/>
    <w:p w:rsidR="00B87388" w:rsidRPr="00B87388" w:rsidRDefault="00B87388" w:rsidP="00B87388">
      <w:pPr>
        <w:widowControl w:val="0"/>
        <w:bidi/>
        <w:spacing w:after="0" w:line="240" w:lineRule="auto"/>
        <w:ind w:firstLine="454"/>
        <w:jc w:val="both"/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</w:pPr>
      <w:r w:rsidRPr="00B87388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 xml:space="preserve">وعلى هذا النحو كان العلماء في عصر إحياء العلوم يفهمون "فقه اللغة"، بل كان هذا الاسم إذا أطلقوه لا ينصرف إلّا إلى دراسة اللغتين الإغريقية واللاتينية؛ من حيث </w:t>
      </w:r>
      <w:proofErr w:type="gramStart"/>
      <w:r w:rsidRPr="00B87388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>قواعدهما,</w:t>
      </w:r>
      <w:proofErr w:type="gramEnd"/>
      <w:r w:rsidRPr="00B87388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 xml:space="preserve"> وتاريخ أدبها, ونقد نصوصها، وأصبحنا اليوم نعد هذه الدراسة </w:t>
      </w:r>
      <w:proofErr w:type="spellStart"/>
      <w:r w:rsidRPr="00B87388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>متحفية</w:t>
      </w:r>
      <w:proofErr w:type="spellEnd"/>
      <w:r w:rsidRPr="00B87388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 xml:space="preserve">، ونسميها: "فقه اللغة الاتباعي" </w:t>
      </w:r>
      <w:proofErr w:type="spellStart"/>
      <w:r w:rsidRPr="00B87388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lang w:eastAsia="ar-SA" w:bidi="ar-IQ"/>
        </w:rPr>
        <w:t>philologie</w:t>
      </w:r>
      <w:proofErr w:type="spellEnd"/>
      <w:r w:rsidRPr="00B87388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lang w:eastAsia="ar-SA" w:bidi="ar-IQ"/>
        </w:rPr>
        <w:t xml:space="preserve"> </w:t>
      </w:r>
      <w:proofErr w:type="spellStart"/>
      <w:r w:rsidRPr="00B87388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lang w:eastAsia="ar-SA" w:bidi="ar-IQ"/>
        </w:rPr>
        <w:t>classique</w:t>
      </w:r>
      <w:proofErr w:type="spellEnd"/>
    </w:p>
    <w:p w:rsidR="00B87388" w:rsidRPr="00B87388" w:rsidRDefault="00B87388" w:rsidP="00B87388">
      <w:pPr>
        <w:widowControl w:val="0"/>
        <w:bidi/>
        <w:spacing w:after="0" w:line="240" w:lineRule="auto"/>
        <w:ind w:firstLine="454"/>
        <w:jc w:val="both"/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</w:pPr>
      <w:r w:rsidRPr="00B87388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 xml:space="preserve">وربما لا يكون مفهوم علمائنا القدامى لـ"فقه اللغة" شديد الاختلاف عما أصبحنا نسميه: "فقه اللغة الاتباعي" إلّا في مواطن قليلة؛ فسنرى أن كثيرًا من مباحث القوم في اللغة كان يتناول العربية الفصحى؛ من حيث </w:t>
      </w:r>
      <w:proofErr w:type="gramStart"/>
      <w:r w:rsidRPr="00B87388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>قواعدها,</w:t>
      </w:r>
      <w:proofErr w:type="gramEnd"/>
      <w:r w:rsidRPr="00B87388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 xml:space="preserve"> وتاريخ </w:t>
      </w:r>
      <w:proofErr w:type="spellStart"/>
      <w:r w:rsidRPr="00B87388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>أبدبها</w:t>
      </w:r>
      <w:proofErr w:type="spellEnd"/>
      <w:r w:rsidRPr="00B87388">
        <w:rPr>
          <w:rFonts w:ascii="Times New Roman" w:eastAsia="Times New Roman" w:hAnsi="Times New Roman" w:cs="Traditional Arabic"/>
          <w:b/>
          <w:bCs/>
          <w:color w:val="000000"/>
          <w:sz w:val="36"/>
          <w:szCs w:val="36"/>
          <w:rtl/>
          <w:lang w:eastAsia="ar-SA" w:bidi="ar-IQ"/>
        </w:rPr>
        <w:t>, ونقد نصوصها، فقابلت الفصحى عندهم الإغريقية واللاتينية الفرنجة.</w:t>
      </w:r>
    </w:p>
    <w:p w:rsidR="00C84E46" w:rsidRDefault="00B87388">
      <w:pPr>
        <w:rPr>
          <w:lang w:bidi="ar-IQ"/>
        </w:rPr>
      </w:pPr>
    </w:p>
    <w:sectPr w:rsidR="00C84E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88"/>
    <w:rsid w:val="007C599F"/>
    <w:rsid w:val="00B56E55"/>
    <w:rsid w:val="00B8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043783-39F8-421A-801E-900733B1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Dr.sabah</dc:creator>
  <cp:keywords/>
  <dc:description/>
  <cp:lastModifiedBy>Dr.sabah</cp:lastModifiedBy>
  <cp:revision>1</cp:revision>
  <dcterms:created xsi:type="dcterms:W3CDTF">2018-01-26T07:37:00Z</dcterms:created>
  <dcterms:modified xsi:type="dcterms:W3CDTF">2018-01-26T07:37:00Z</dcterms:modified>
</cp:coreProperties>
</file>