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F48" w:rsidRPr="00557F48" w:rsidRDefault="00557F48" w:rsidP="00557F48">
      <w:pPr>
        <w:widowControl w:val="0"/>
        <w:bidi/>
        <w:spacing w:after="0" w:line="240" w:lineRule="auto"/>
        <w:ind w:firstLine="454"/>
        <w:jc w:val="both"/>
        <w:rPr>
          <w:rFonts w:ascii="Times New Roman" w:eastAsia="Times New Roman" w:hAnsi="Times New Roman" w:cs="Traditional Arabic" w:hint="cs"/>
          <w:b/>
          <w:bCs/>
          <w:color w:val="000000"/>
          <w:sz w:val="52"/>
          <w:szCs w:val="52"/>
          <w:rtl/>
          <w:lang w:eastAsia="ar-SA" w:bidi="ar-IQ"/>
        </w:rPr>
      </w:pPr>
      <w:r w:rsidRPr="00557F48">
        <w:rPr>
          <w:rFonts w:ascii="Times New Roman" w:eastAsia="Times New Roman" w:hAnsi="Times New Roman" w:cs="Traditional Arabic" w:hint="cs"/>
          <w:b/>
          <w:bCs/>
          <w:color w:val="000000"/>
          <w:sz w:val="52"/>
          <w:szCs w:val="52"/>
          <w:rtl/>
          <w:lang w:eastAsia="ar-SA" w:bidi="ar-IQ"/>
        </w:rPr>
        <w:t xml:space="preserve">الجامعة المستنصرية </w:t>
      </w:r>
    </w:p>
    <w:p w:rsidR="00557F48" w:rsidRPr="00557F48" w:rsidRDefault="00557F48" w:rsidP="00557F48">
      <w:pPr>
        <w:widowControl w:val="0"/>
        <w:bidi/>
        <w:spacing w:after="0" w:line="240" w:lineRule="auto"/>
        <w:ind w:firstLine="454"/>
        <w:jc w:val="both"/>
        <w:rPr>
          <w:rFonts w:ascii="Times New Roman" w:eastAsia="Times New Roman" w:hAnsi="Times New Roman" w:cs="Traditional Arabic" w:hint="cs"/>
          <w:b/>
          <w:bCs/>
          <w:color w:val="000000"/>
          <w:sz w:val="52"/>
          <w:szCs w:val="52"/>
          <w:rtl/>
          <w:lang w:eastAsia="ar-SA" w:bidi="ar-IQ"/>
        </w:rPr>
      </w:pPr>
      <w:r w:rsidRPr="00557F48">
        <w:rPr>
          <w:rFonts w:ascii="Times New Roman" w:eastAsia="Times New Roman" w:hAnsi="Times New Roman" w:cs="Traditional Arabic" w:hint="cs"/>
          <w:b/>
          <w:bCs/>
          <w:color w:val="000000"/>
          <w:sz w:val="52"/>
          <w:szCs w:val="52"/>
          <w:rtl/>
          <w:lang w:eastAsia="ar-SA" w:bidi="ar-IQ"/>
        </w:rPr>
        <w:t xml:space="preserve">كلية الآداب –قسم اللغة العربية </w:t>
      </w:r>
    </w:p>
    <w:p w:rsidR="00557F48" w:rsidRPr="00557F48" w:rsidRDefault="00557F48" w:rsidP="00557F48">
      <w:pPr>
        <w:widowControl w:val="0"/>
        <w:bidi/>
        <w:spacing w:after="0" w:line="240" w:lineRule="auto"/>
        <w:ind w:firstLine="454"/>
        <w:jc w:val="both"/>
        <w:rPr>
          <w:rFonts w:ascii="Times New Roman" w:eastAsia="Times New Roman" w:hAnsi="Times New Roman" w:cs="Traditional Arabic" w:hint="cs"/>
          <w:b/>
          <w:bCs/>
          <w:color w:val="000000"/>
          <w:sz w:val="52"/>
          <w:szCs w:val="52"/>
          <w:rtl/>
          <w:lang w:eastAsia="ar-SA" w:bidi="ar-IQ"/>
        </w:rPr>
      </w:pPr>
      <w:proofErr w:type="gramStart"/>
      <w:r w:rsidRPr="00557F48">
        <w:rPr>
          <w:rFonts w:ascii="Times New Roman" w:eastAsia="Times New Roman" w:hAnsi="Times New Roman" w:cs="Traditional Arabic" w:hint="cs"/>
          <w:b/>
          <w:bCs/>
          <w:color w:val="000000"/>
          <w:sz w:val="52"/>
          <w:szCs w:val="52"/>
          <w:rtl/>
          <w:lang w:eastAsia="ar-SA" w:bidi="ar-IQ"/>
        </w:rPr>
        <w:t>المادة :</w:t>
      </w:r>
      <w:proofErr w:type="gramEnd"/>
      <w:r w:rsidRPr="00557F48">
        <w:rPr>
          <w:rFonts w:ascii="Times New Roman" w:eastAsia="Times New Roman" w:hAnsi="Times New Roman" w:cs="Traditional Arabic" w:hint="cs"/>
          <w:b/>
          <w:bCs/>
          <w:color w:val="000000"/>
          <w:sz w:val="52"/>
          <w:szCs w:val="52"/>
          <w:rtl/>
          <w:lang w:eastAsia="ar-SA" w:bidi="ar-IQ"/>
        </w:rPr>
        <w:t xml:space="preserve"> فقه اللغة </w:t>
      </w:r>
    </w:p>
    <w:p w:rsidR="00557F48" w:rsidRPr="00557F48" w:rsidRDefault="00557F48" w:rsidP="00557F48">
      <w:pPr>
        <w:widowControl w:val="0"/>
        <w:bidi/>
        <w:spacing w:after="0" w:line="240" w:lineRule="auto"/>
        <w:ind w:firstLine="454"/>
        <w:jc w:val="both"/>
        <w:rPr>
          <w:rFonts w:ascii="Times New Roman" w:eastAsia="Times New Roman" w:hAnsi="Times New Roman" w:cs="Traditional Arabic"/>
          <w:b/>
          <w:bCs/>
          <w:color w:val="000000"/>
          <w:sz w:val="52"/>
          <w:szCs w:val="52"/>
          <w:rtl/>
          <w:lang w:eastAsia="ar-SA" w:bidi="ar-IQ"/>
        </w:rPr>
      </w:pPr>
      <w:r w:rsidRPr="00557F48">
        <w:rPr>
          <w:rFonts w:ascii="Times New Roman" w:eastAsia="Times New Roman" w:hAnsi="Times New Roman" w:cs="Traditional Arabic" w:hint="cs"/>
          <w:b/>
          <w:bCs/>
          <w:color w:val="000000"/>
          <w:sz w:val="52"/>
          <w:szCs w:val="52"/>
          <w:rtl/>
          <w:lang w:eastAsia="ar-SA" w:bidi="ar-IQ"/>
        </w:rPr>
        <w:t xml:space="preserve">مدرس </w:t>
      </w:r>
      <w:proofErr w:type="gramStart"/>
      <w:r w:rsidRPr="00557F48">
        <w:rPr>
          <w:rFonts w:ascii="Times New Roman" w:eastAsia="Times New Roman" w:hAnsi="Times New Roman" w:cs="Traditional Arabic" w:hint="cs"/>
          <w:b/>
          <w:bCs/>
          <w:color w:val="000000"/>
          <w:sz w:val="52"/>
          <w:szCs w:val="52"/>
          <w:rtl/>
          <w:lang w:eastAsia="ar-SA" w:bidi="ar-IQ"/>
        </w:rPr>
        <w:t>المادة :</w:t>
      </w:r>
      <w:proofErr w:type="gramEnd"/>
      <w:r w:rsidRPr="00557F48">
        <w:rPr>
          <w:rFonts w:ascii="Times New Roman" w:eastAsia="Times New Roman" w:hAnsi="Times New Roman" w:cs="Traditional Arabic" w:hint="cs"/>
          <w:b/>
          <w:bCs/>
          <w:color w:val="000000"/>
          <w:sz w:val="52"/>
          <w:szCs w:val="52"/>
          <w:rtl/>
          <w:lang w:eastAsia="ar-SA" w:bidi="ar-IQ"/>
        </w:rPr>
        <w:t xml:space="preserve"> </w:t>
      </w:r>
      <w:proofErr w:type="spellStart"/>
      <w:r w:rsidRPr="00557F48">
        <w:rPr>
          <w:rFonts w:ascii="Times New Roman" w:eastAsia="Times New Roman" w:hAnsi="Times New Roman" w:cs="Traditional Arabic" w:hint="cs"/>
          <w:b/>
          <w:bCs/>
          <w:color w:val="000000"/>
          <w:sz w:val="52"/>
          <w:szCs w:val="52"/>
          <w:rtl/>
          <w:lang w:eastAsia="ar-SA" w:bidi="ar-IQ"/>
        </w:rPr>
        <w:t>ا.د</w:t>
      </w:r>
      <w:proofErr w:type="spellEnd"/>
      <w:r w:rsidRPr="00557F48">
        <w:rPr>
          <w:rFonts w:ascii="Times New Roman" w:eastAsia="Times New Roman" w:hAnsi="Times New Roman" w:cs="Traditional Arabic" w:hint="cs"/>
          <w:b/>
          <w:bCs/>
          <w:color w:val="000000"/>
          <w:sz w:val="52"/>
          <w:szCs w:val="52"/>
          <w:rtl/>
          <w:lang w:eastAsia="ar-SA" w:bidi="ar-IQ"/>
        </w:rPr>
        <w:t>. صالح هادي</w:t>
      </w:r>
    </w:p>
    <w:p w:rsidR="00557F48" w:rsidRPr="00557F48" w:rsidRDefault="00557F48" w:rsidP="00557F48">
      <w:pPr>
        <w:widowControl w:val="0"/>
        <w:bidi/>
        <w:spacing w:after="0" w:line="240" w:lineRule="auto"/>
        <w:ind w:firstLine="454"/>
        <w:jc w:val="both"/>
        <w:rPr>
          <w:rFonts w:ascii="Times New Roman" w:eastAsia="Times New Roman" w:hAnsi="Times New Roman" w:cs="Traditional Arabic"/>
          <w:b/>
          <w:bCs/>
          <w:color w:val="000000"/>
          <w:sz w:val="52"/>
          <w:szCs w:val="52"/>
          <w:rtl/>
          <w:lang w:eastAsia="ar-SA" w:bidi="ar-IQ"/>
        </w:rPr>
      </w:pPr>
      <w:r w:rsidRPr="00557F48">
        <w:rPr>
          <w:rFonts w:ascii="Times New Roman" w:eastAsia="Times New Roman" w:hAnsi="Times New Roman" w:cs="Traditional Arabic" w:hint="cs"/>
          <w:b/>
          <w:bCs/>
          <w:color w:val="000000"/>
          <w:sz w:val="52"/>
          <w:szCs w:val="52"/>
          <w:rtl/>
          <w:lang w:eastAsia="ar-SA" w:bidi="ar-IQ"/>
        </w:rPr>
        <w:t xml:space="preserve">تسلسل المحاضرة </w:t>
      </w:r>
      <w:proofErr w:type="gramStart"/>
      <w:r w:rsidRPr="00557F48">
        <w:rPr>
          <w:rFonts w:ascii="Times New Roman" w:eastAsia="Times New Roman" w:hAnsi="Times New Roman" w:cs="Traditional Arabic" w:hint="cs"/>
          <w:b/>
          <w:bCs/>
          <w:color w:val="000000"/>
          <w:sz w:val="52"/>
          <w:szCs w:val="52"/>
          <w:rtl/>
          <w:lang w:eastAsia="ar-SA" w:bidi="ar-IQ"/>
        </w:rPr>
        <w:t>( 5</w:t>
      </w:r>
      <w:proofErr w:type="gramEnd"/>
      <w:r w:rsidRPr="00557F48">
        <w:rPr>
          <w:rFonts w:ascii="Times New Roman" w:eastAsia="Times New Roman" w:hAnsi="Times New Roman" w:cs="Traditional Arabic" w:hint="cs"/>
          <w:b/>
          <w:bCs/>
          <w:color w:val="000000"/>
          <w:sz w:val="52"/>
          <w:szCs w:val="52"/>
          <w:rtl/>
          <w:lang w:eastAsia="ar-SA" w:bidi="ar-IQ"/>
        </w:rPr>
        <w:t xml:space="preserve">) </w:t>
      </w:r>
    </w:p>
    <w:p w:rsidR="00557F48" w:rsidRPr="00557F48" w:rsidRDefault="00557F48" w:rsidP="00557F48">
      <w:pPr>
        <w:widowControl w:val="0"/>
        <w:bidi/>
        <w:spacing w:after="0" w:line="240" w:lineRule="auto"/>
        <w:ind w:firstLine="454"/>
        <w:jc w:val="both"/>
        <w:rPr>
          <w:rFonts w:ascii="Times New Roman" w:eastAsia="Times New Roman" w:hAnsi="Times New Roman" w:cs="Traditional Arabic"/>
          <w:b/>
          <w:bCs/>
          <w:color w:val="000000"/>
          <w:sz w:val="52"/>
          <w:szCs w:val="52"/>
          <w:rtl/>
          <w:lang w:eastAsia="ar-SA" w:bidi="ar-IQ"/>
        </w:rPr>
      </w:pPr>
    </w:p>
    <w:p w:rsidR="00557F48" w:rsidRPr="00557F48" w:rsidRDefault="00557F48" w:rsidP="00557F48">
      <w:pPr>
        <w:widowControl w:val="0"/>
        <w:bidi/>
        <w:spacing w:after="0" w:line="240" w:lineRule="auto"/>
        <w:ind w:firstLine="454"/>
        <w:jc w:val="both"/>
        <w:rPr>
          <w:rFonts w:ascii="Times New Roman" w:eastAsia="Times New Roman" w:hAnsi="Times New Roman" w:cs="Traditional Arabic"/>
          <w:b/>
          <w:bCs/>
          <w:color w:val="000000"/>
          <w:sz w:val="52"/>
          <w:szCs w:val="52"/>
          <w:rtl/>
          <w:lang w:eastAsia="ar-SA" w:bidi="ar-IQ"/>
        </w:rPr>
      </w:pPr>
      <w:r w:rsidRPr="00557F48">
        <w:rPr>
          <w:rFonts w:ascii="Times New Roman" w:eastAsia="Times New Roman" w:hAnsi="Times New Roman" w:cs="Traditional Arabic"/>
          <w:b/>
          <w:bCs/>
          <w:color w:val="000000"/>
          <w:sz w:val="52"/>
          <w:szCs w:val="52"/>
          <w:rtl/>
          <w:lang w:eastAsia="ar-SA" w:bidi="ar-IQ"/>
        </w:rPr>
        <w:t>تطور التأليف في فقه اللغة عند العرب:</w:t>
      </w:r>
    </w:p>
    <w:p w:rsidR="00557F48" w:rsidRPr="00557F48" w:rsidRDefault="00557F48" w:rsidP="00557F48">
      <w:pPr>
        <w:widowControl w:val="0"/>
        <w:bidi/>
        <w:spacing w:after="0" w:line="240" w:lineRule="auto"/>
        <w:ind w:firstLine="454"/>
        <w:jc w:val="both"/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</w:pPr>
      <w:r w:rsidRPr="00557F48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  <w:t xml:space="preserve">إن التأليف في فقه اللغة قد مَرَّ بأدوار جديرة أن تسجل، تقف الباحث على نشأة هذا العلم </w:t>
      </w:r>
      <w:proofErr w:type="gramStart"/>
      <w:r w:rsidRPr="00557F48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  <w:t>وتطوره,</w:t>
      </w:r>
      <w:proofErr w:type="gramEnd"/>
      <w:r w:rsidRPr="00557F48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  <w:t xml:space="preserve"> وإن من العسير استيعاب جميع الكتب المتعلقة بفقه اللغة تعلقًا غير مباشر؛ كالمصنفات النحوية والصرفية، والمباحث البلاغية, ووجوه القراءات المتواترة والشاذة, فلا بد لنا أن نقصر حديثنا على </w:t>
      </w:r>
      <w:proofErr w:type="spellStart"/>
      <w:r w:rsidRPr="00557F48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  <w:t>التآليف</w:t>
      </w:r>
      <w:proofErr w:type="spellEnd"/>
      <w:r w:rsidRPr="00557F48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  <w:t xml:space="preserve"> التي توفر أصحابها على دارسة ما يرتبط ارتباطًا قويًّا بفقه اللغة علمًا مستقلًّا قائمًا بنفسه، لا يناقض التعريف الذي قدمناه له.</w:t>
      </w:r>
    </w:p>
    <w:p w:rsidR="00557F48" w:rsidRPr="00557F48" w:rsidRDefault="00557F48" w:rsidP="00557F48">
      <w:pPr>
        <w:widowControl w:val="0"/>
        <w:bidi/>
        <w:spacing w:after="0" w:line="240" w:lineRule="auto"/>
        <w:ind w:firstLine="454"/>
        <w:jc w:val="both"/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</w:pPr>
      <w:r w:rsidRPr="00557F48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  <w:t>لعل أقدم ما وصلنا من هذه الدراسات مباحث الأصمعي "أبي سعيد عبد الملك بن قُرَيْب</w:t>
      </w:r>
      <w:proofErr w:type="gramStart"/>
      <w:r w:rsidRPr="00557F48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  <w:t>",</w:t>
      </w:r>
      <w:proofErr w:type="gramEnd"/>
      <w:r w:rsidRPr="00557F48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  <w:t xml:space="preserve"> المتوفي سنة 215هـ, عن الاشتقاق في العربية، وفي </w:t>
      </w:r>
      <w:proofErr w:type="spellStart"/>
      <w:r w:rsidRPr="00557F48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  <w:t>تسمتيتها</w:t>
      </w:r>
      <w:proofErr w:type="spellEnd"/>
      <w:r w:rsidRPr="00557F48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  <w:t xml:space="preserve"> فقه اللغة كثير من للتجوز؛ لأنها لا تعدو ملاحظات عامة اتسع القول فيها فيما بعد، وأوضحت جزءًا هامًّا من هذا العلم العظيم.</w:t>
      </w:r>
    </w:p>
    <w:p w:rsidR="00557F48" w:rsidRPr="00557F48" w:rsidRDefault="00557F48" w:rsidP="00557F48">
      <w:pPr>
        <w:widowControl w:val="0"/>
        <w:bidi/>
        <w:spacing w:after="0" w:line="240" w:lineRule="auto"/>
        <w:ind w:firstLine="454"/>
        <w:jc w:val="both"/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</w:pPr>
      <w:r w:rsidRPr="00557F48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  <w:t>ثم أنشأ ابن جني "أبو الفتح عثمان" المتوفي سنة 392</w:t>
      </w:r>
      <w:proofErr w:type="gramStart"/>
      <w:r w:rsidRPr="00557F48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  <w:t>هـ,</w:t>
      </w:r>
      <w:proofErr w:type="gramEnd"/>
      <w:r w:rsidRPr="00557F48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  <w:t xml:space="preserve"> الفقيه اللغوي العبقري كتابه "الخصائص", وراح يناقش فيه بفكره الثاقب ومنطقه السليم أبحاثًا خطيرة في أصل اللغة "أإلهام هي أم اصطلاح" وفي مقاييس العربية، واطرادها وشذوذها، </w:t>
      </w:r>
      <w:proofErr w:type="spellStart"/>
      <w:r w:rsidRPr="00557F48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  <w:t>وتصاقب</w:t>
      </w:r>
      <w:proofErr w:type="spellEnd"/>
      <w:r w:rsidRPr="00557F48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  <w:t xml:space="preserve"> ألفاظها </w:t>
      </w:r>
      <w:proofErr w:type="spellStart"/>
      <w:r w:rsidRPr="00557F48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  <w:t>لتصاقب</w:t>
      </w:r>
      <w:proofErr w:type="spellEnd"/>
      <w:r w:rsidRPr="00557F48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  <w:t xml:space="preserve"> معانيها، واتفاق اللفظين واختلاف المعنيين، والاشتقاق الأكبر، وتركب اللغات، واختلاف </w:t>
      </w:r>
      <w:r w:rsidRPr="00557F48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  <w:lastRenderedPageBreak/>
        <w:t>اللهجات, ومع أن "خصائص" ابن جني أجدر الكتب أن تسمى بفقه اللغة، ضنَّ عليها مؤلفها بهذا الاسم!</w:t>
      </w:r>
      <w:r w:rsidRPr="00557F48">
        <w:rPr>
          <w:rFonts w:ascii="Times New Roman" w:eastAsia="Times New Roman" w:hAnsi="Times New Roman" w:cs="Traditional Arabic" w:hint="cs"/>
          <w:color w:val="000000"/>
          <w:sz w:val="36"/>
          <w:szCs w:val="36"/>
          <w:rtl/>
          <w:lang w:eastAsia="ar-SA" w:bidi="ar-IQ"/>
        </w:rPr>
        <w:t xml:space="preserve"> </w:t>
      </w:r>
      <w:r w:rsidRPr="00557F48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  <w:t>أما أحمد بن فارس "أبو الحسين القزويني" المتوفي سنة 395</w:t>
      </w:r>
      <w:proofErr w:type="gramStart"/>
      <w:r w:rsidRPr="00557F48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  <w:t>هـ,</w:t>
      </w:r>
      <w:proofErr w:type="gramEnd"/>
      <w:r w:rsidRPr="00557F48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  <w:t xml:space="preserve"> وهو أستاذ الصاحب بن عباد, المتوفي سنة 385هـ, فقد خلع على مباحثه في نشأة العربية اسم: "الصاحبي في فقه اللغة, وسنن العرب في كلامها"، وذهب إلى أن اللغة إلهام وتوقيف، مستدلًّا بقوله تعالى: {وَعَلَّمَ آَدَمَ الْأَسْمَاءَ كُلَّهَا} . على أنه ضمَّن كتابه هذا بعض المباحث الهامة حقًّا في فقه العربية؛ كخصائص هذه اللغة، </w:t>
      </w:r>
      <w:proofErr w:type="gramStart"/>
      <w:r w:rsidRPr="00557F48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  <w:t>واشتقاقها,</w:t>
      </w:r>
      <w:proofErr w:type="gramEnd"/>
      <w:r w:rsidRPr="00557F48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  <w:t xml:space="preserve"> وقياسها، ومترادفها, ومجازها, واشتراكها, ونحتها، واختلاف لغاته ولهجاتها.</w:t>
      </w:r>
    </w:p>
    <w:p w:rsidR="00C84E46" w:rsidRDefault="00557F48">
      <w:pPr>
        <w:rPr>
          <w:lang w:bidi="ar-IQ"/>
        </w:rPr>
      </w:pPr>
      <w:bookmarkStart w:id="0" w:name="_GoBack"/>
      <w:bookmarkEnd w:id="0"/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48"/>
    <w:rsid w:val="00557F48"/>
    <w:rsid w:val="007C599F"/>
    <w:rsid w:val="00B5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7277B-8E68-47BE-B88C-62920DB1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1</cp:revision>
  <dcterms:created xsi:type="dcterms:W3CDTF">2018-01-26T08:07:00Z</dcterms:created>
  <dcterms:modified xsi:type="dcterms:W3CDTF">2018-01-26T08:07:00Z</dcterms:modified>
</cp:coreProperties>
</file>