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46049C" w:rsidRPr="0046049C" w:rsidRDefault="006B3B1F" w:rsidP="0046049C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46049C" w:rsidRPr="0046049C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الرابعة والعشرون</w:t>
      </w:r>
    </w:p>
    <w:p w:rsidR="0046049C" w:rsidRPr="0046049C" w:rsidRDefault="0046049C" w:rsidP="0046049C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6049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ازدهار الخطابة في </w:t>
      </w:r>
      <w:r w:rsidRPr="0046049C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</w:p>
    <w:p w:rsidR="0046049C" w:rsidRPr="0046049C" w:rsidRDefault="0046049C" w:rsidP="0046049C">
      <w:pPr>
        <w:numPr>
          <w:ilvl w:val="0"/>
          <w:numId w:val="29"/>
        </w:numPr>
        <w:spacing w:before="120" w:after="0" w:line="20" w:lineRule="atLeast"/>
        <w:contextualSpacing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>طبيعة الصحراء وحياة الفروس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>ة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6049C" w:rsidRPr="0046049C" w:rsidRDefault="0046049C" w:rsidP="0046049C">
      <w:pPr>
        <w:numPr>
          <w:ilvl w:val="0"/>
          <w:numId w:val="29"/>
        </w:numPr>
        <w:spacing w:before="120" w:after="0" w:line="20" w:lineRule="atLeast"/>
        <w:contextualSpacing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>وجود التعصب للقبيلة العربية والافتخار بالقوم والنفس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6049C" w:rsidRPr="0046049C" w:rsidRDefault="0046049C" w:rsidP="0046049C">
      <w:pPr>
        <w:numPr>
          <w:ilvl w:val="0"/>
          <w:numId w:val="29"/>
        </w:numPr>
        <w:spacing w:before="120" w:after="0" w:line="20" w:lineRule="atLeast"/>
        <w:contextualSpacing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قلة انتشار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الكتابة،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 دفع هذا النوم من الفن الذي يتميز بالتعبير الشفوي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الازدهار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6049C" w:rsidRPr="0046049C" w:rsidRDefault="0046049C" w:rsidP="0046049C">
      <w:pPr>
        <w:numPr>
          <w:ilvl w:val="0"/>
          <w:numId w:val="29"/>
        </w:numPr>
        <w:spacing w:before="120" w:after="0" w:line="20" w:lineRule="atLeast"/>
        <w:contextualSpacing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وجود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الأسواق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الجاهلية التي كانت تتجمع العرب لأبراز مواهبهم من خطابة وغيرها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6049C" w:rsidRPr="0046049C" w:rsidRDefault="0046049C" w:rsidP="0046049C">
      <w:pPr>
        <w:spacing w:before="120" w:after="0" w:line="20" w:lineRule="atLeast"/>
        <w:ind w:left="36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6049C">
        <w:rPr>
          <w:rFonts w:asciiTheme="majorBidi" w:hAnsiTheme="majorBidi" w:cs="PT Bold Heading" w:hint="cs"/>
          <w:sz w:val="32"/>
          <w:szCs w:val="32"/>
          <w:rtl/>
          <w:lang w:bidi="ar-IQ"/>
        </w:rPr>
        <w:t>أشهر</w:t>
      </w:r>
      <w:r w:rsidRPr="0046049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خطباء </w:t>
      </w:r>
      <w:r w:rsidRPr="0046049C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6049C" w:rsidRPr="0046049C" w:rsidRDefault="0046049C" w:rsidP="0046049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إذا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رجعنا نستعرض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أسماء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خطبائهم وجدنا البيان والتبين يموج بهم من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مثل: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قيس بن شماس في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يثرب،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وابنه ثابت وهو خطيب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النبي،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صلى الله عليه واله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وسلم.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خطباء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الأنصار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أيضا: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سعد بن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الربيع،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الذي اعترضت ابنته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النبي،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صلى الله عليه واله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وسلم؛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فقال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لها: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أنت؟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قالت: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ابنة الخطيب النقيب الشهيد سعد بن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الربيع.</w:t>
      </w:r>
    </w:p>
    <w:p w:rsidR="0046049C" w:rsidRDefault="0046049C" w:rsidP="0046049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مكة فمن قدماء خطبائهم هاشم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وأمية،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ونفيل بن عبد العزى جد عمرو بن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الخطاب،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واليه تنافر عبد المطلب بن هاشم وحرب بن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أمية.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ويظهر انه كان بها خطباء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كثيرون.</w:t>
      </w:r>
    </w:p>
    <w:p w:rsidR="0046049C" w:rsidRPr="0046049C" w:rsidRDefault="0046049C" w:rsidP="0046049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وربما كان مما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هيأ لكثرتهم وجود دار الندوة بها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تشبه مجلس شيوخ مصغر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كانوا  يجتمعون فيها ويخطبون ويتحاورون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وممن عرف فيها بالخطابة عتبة بن ربيعة وسهيل بن عمرو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الأعلم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الذي قال فيه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للرسول صلى الله عليه واله وسلم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>: "يا رسول الله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انزع ثنيتيه السفليين حتى يدلع لسانه فلا يقوم عليك خطيبا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أبدا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" فقال الرسول عليه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السلام: "لا امثل فيمثل الله بي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كنت نبيا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دعه يا عمر؛ فعسى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يقوم مقاما تحمده" وممن اشتهروا بالخطابة في القبائل عامر بن الظرب ف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ي عدوان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وربيعة بن حذار في أسد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وحنظلة بن ضرار في ضبة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طال عمره حتى ادرك يوم الجمل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وعمرو بن كلثوم في تغلب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وهانئ بن قبيصة في شيبان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خطيب يوم ذي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وزهير بن جناب في كلب وقضاعة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وابن عمار في وطيء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ن خطبائهم لبيد بن ربيعة العامري</w:t>
      </w:r>
      <w:bookmarkStart w:id="0" w:name="_GoBack"/>
      <w:bookmarkEnd w:id="0"/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46049C" w:rsidRPr="0046049C" w:rsidRDefault="0046049C" w:rsidP="0046049C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46049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مميزات </w:t>
      </w:r>
      <w:r w:rsidRPr="0046049C">
        <w:rPr>
          <w:rFonts w:asciiTheme="majorBidi" w:hAnsiTheme="majorBidi" w:cs="PT Bold Heading" w:hint="cs"/>
          <w:sz w:val="32"/>
          <w:szCs w:val="32"/>
          <w:rtl/>
          <w:lang w:bidi="ar-IQ"/>
        </w:rPr>
        <w:t>الخطيب:</w:t>
      </w:r>
    </w:p>
    <w:p w:rsidR="0046049C" w:rsidRPr="0046049C" w:rsidRDefault="0046049C" w:rsidP="0046049C">
      <w:pPr>
        <w:numPr>
          <w:ilvl w:val="0"/>
          <w:numId w:val="22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الموهبة والاستعداد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الفطري،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كالذكاء وسرعة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البديهة.</w:t>
      </w:r>
    </w:p>
    <w:p w:rsidR="0046049C" w:rsidRPr="0046049C" w:rsidRDefault="0046049C" w:rsidP="0046049C">
      <w:pPr>
        <w:numPr>
          <w:ilvl w:val="0"/>
          <w:numId w:val="22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القدرة على شد انتباه الجمهور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موضوع خطبته بأساليب مميزة لكل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منهم.</w:t>
      </w:r>
    </w:p>
    <w:p w:rsidR="0046049C" w:rsidRPr="0046049C" w:rsidRDefault="0046049C" w:rsidP="0046049C">
      <w:pPr>
        <w:numPr>
          <w:ilvl w:val="0"/>
          <w:numId w:val="22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هيئة الخطيب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وجرأته.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ومطاوعة صوته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وإشاراته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لمعاني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خطبته.</w:t>
      </w:r>
    </w:p>
    <w:p w:rsidR="0046049C" w:rsidRPr="0046049C" w:rsidRDefault="0046049C" w:rsidP="0046049C">
      <w:pPr>
        <w:numPr>
          <w:ilvl w:val="0"/>
          <w:numId w:val="22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التأثير في المخاطبين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بالحجج،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والعناية بجماليات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الخطبة،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كالأبهار بمنطلقات الخطاب المطرز بالسجع غير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المتكلف،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والتشبيهات،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والإسهاب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غير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الممل،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والإيجاز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غير </w:t>
      </w:r>
      <w:r w:rsidRPr="0046049C">
        <w:rPr>
          <w:rFonts w:asciiTheme="majorBidi" w:hAnsiTheme="majorBidi" w:cstheme="majorBidi" w:hint="cs"/>
          <w:sz w:val="32"/>
          <w:szCs w:val="32"/>
          <w:rtl/>
          <w:lang w:bidi="ar-IQ"/>
        </w:rPr>
        <w:t>المخل.</w:t>
      </w:r>
      <w:r w:rsidRPr="0046049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E6EFE" w:rsidRPr="0046049C" w:rsidRDefault="00AE6EFE" w:rsidP="0046049C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46049C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25" w:rsidRDefault="00246F25" w:rsidP="00561D64">
      <w:pPr>
        <w:spacing w:after="0" w:line="240" w:lineRule="auto"/>
      </w:pPr>
      <w:r>
        <w:separator/>
      </w:r>
    </w:p>
  </w:endnote>
  <w:endnote w:type="continuationSeparator" w:id="0">
    <w:p w:rsidR="00246F25" w:rsidRDefault="00246F25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46049C" w:rsidRPr="0046049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25" w:rsidRDefault="00246F25" w:rsidP="00561D64">
      <w:pPr>
        <w:spacing w:after="0" w:line="240" w:lineRule="auto"/>
      </w:pPr>
      <w:r>
        <w:separator/>
      </w:r>
    </w:p>
  </w:footnote>
  <w:footnote w:type="continuationSeparator" w:id="0">
    <w:p w:rsidR="00246F25" w:rsidRDefault="00246F25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63027"/>
    <w:multiLevelType w:val="hybridMultilevel"/>
    <w:tmpl w:val="FD26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8"/>
  </w:num>
  <w:num w:numId="15">
    <w:abstractNumId w:val="3"/>
  </w:num>
  <w:num w:numId="16">
    <w:abstractNumId w:val="1"/>
  </w:num>
  <w:num w:numId="17">
    <w:abstractNumId w:val="25"/>
  </w:num>
  <w:num w:numId="18">
    <w:abstractNumId w:val="6"/>
  </w:num>
  <w:num w:numId="19">
    <w:abstractNumId w:val="27"/>
  </w:num>
  <w:num w:numId="20">
    <w:abstractNumId w:val="15"/>
  </w:num>
  <w:num w:numId="21">
    <w:abstractNumId w:val="11"/>
  </w:num>
  <w:num w:numId="22">
    <w:abstractNumId w:val="19"/>
  </w:num>
  <w:num w:numId="23">
    <w:abstractNumId w:val="23"/>
  </w:num>
  <w:num w:numId="24">
    <w:abstractNumId w:val="12"/>
  </w:num>
  <w:num w:numId="25">
    <w:abstractNumId w:val="0"/>
  </w:num>
  <w:num w:numId="26">
    <w:abstractNumId w:val="22"/>
  </w:num>
  <w:num w:numId="27">
    <w:abstractNumId w:val="13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46F25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49C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BB8E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E43D-6EAE-409A-817A-BFB0957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2018-02-27T15:50:00Z</dcterms:modified>
</cp:coreProperties>
</file>