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4B" w:rsidRDefault="000735FE" w:rsidP="00832059">
      <w:p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الرسوم والاشكال البيانية </w:t>
      </w:r>
      <w:r>
        <w:rPr>
          <w:sz w:val="32"/>
          <w:szCs w:val="32"/>
          <w:lang w:bidi="ar-IQ"/>
        </w:rPr>
        <w:t xml:space="preserve">the graphs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735FE" w:rsidRDefault="000735FE" w:rsidP="0083205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الغرض من الرسوم والاشكال البيانية يكمن في توضيح وعرض الارقام والبيانات الاحصائية عرضا بيانيا . فبدلا من ان يفحص </w:t>
      </w:r>
      <w:proofErr w:type="spellStart"/>
      <w:r>
        <w:rPr>
          <w:rFonts w:hint="cs"/>
          <w:sz w:val="32"/>
          <w:szCs w:val="32"/>
          <w:rtl/>
          <w:lang w:bidi="ar-IQ"/>
        </w:rPr>
        <w:t>ويتامل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القارئ الارقام الاحصائية في الجداول الخاصة بها بغية الاطلاع على نتائج واتجاهات البحث يمكنه معرفة وتقصي النتائج هذه من مجرد مشاهدته للرسوم والاشكال البيانية التي يوضحها الباحث . ان الرسوم والاشكال البيانية تسهل للقارئ او الفاحص عملية الاطلاع على نتائج البحث واستخلاص المؤشرات النهائية التي تعتمد عليها فروض وطروحات الباحث وتصوراته . </w:t>
      </w:r>
    </w:p>
    <w:p w:rsidR="000735FE" w:rsidRDefault="000735FE" w:rsidP="00832059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اهم الرسوم والاشكال البيانية التي </w:t>
      </w:r>
      <w:r w:rsidR="00F14AE0">
        <w:rPr>
          <w:rFonts w:hint="cs"/>
          <w:sz w:val="32"/>
          <w:szCs w:val="32"/>
          <w:rtl/>
          <w:lang w:bidi="ar-IQ"/>
        </w:rPr>
        <w:t xml:space="preserve">نهتم بدراستها بمادة الاحصاء الاجتماعي هي ما يلي :- </w:t>
      </w:r>
    </w:p>
    <w:p w:rsidR="00F14AE0" w:rsidRDefault="00F14AE0" w:rsidP="00832059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منحني التوزيع التكراري الاعتيادي</w:t>
      </w:r>
      <w:r w:rsidR="00552A92">
        <w:rPr>
          <w:rFonts w:hint="cs"/>
          <w:sz w:val="32"/>
          <w:szCs w:val="32"/>
          <w:rtl/>
          <w:lang w:bidi="ar-IQ"/>
        </w:rPr>
        <w:t xml:space="preserve"> </w:t>
      </w:r>
      <w:r w:rsidR="00552A92">
        <w:rPr>
          <w:sz w:val="32"/>
          <w:szCs w:val="32"/>
          <w:lang w:bidi="ar-IQ"/>
        </w:rPr>
        <w:t xml:space="preserve">normal </w:t>
      </w:r>
      <w:proofErr w:type="spellStart"/>
      <w:r w:rsidR="00552A92">
        <w:rPr>
          <w:sz w:val="32"/>
          <w:szCs w:val="32"/>
          <w:lang w:bidi="ar-IQ"/>
        </w:rPr>
        <w:t>freguency</w:t>
      </w:r>
      <w:proofErr w:type="spellEnd"/>
      <w:r w:rsidR="00552A92">
        <w:rPr>
          <w:sz w:val="32"/>
          <w:szCs w:val="32"/>
          <w:lang w:bidi="ar-IQ"/>
        </w:rPr>
        <w:t xml:space="preserve"> distribution curve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52A92">
        <w:rPr>
          <w:rFonts w:hint="cs"/>
          <w:sz w:val="32"/>
          <w:szCs w:val="32"/>
          <w:rtl/>
          <w:lang w:bidi="ar-IQ"/>
        </w:rPr>
        <w:t xml:space="preserve">. </w:t>
      </w:r>
    </w:p>
    <w:p w:rsidR="00F14AE0" w:rsidRDefault="00F14AE0" w:rsidP="00832059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منحني التوزيع التكراري المتجمع ( منحني </w:t>
      </w:r>
      <w:proofErr w:type="spellStart"/>
      <w:r>
        <w:rPr>
          <w:rFonts w:hint="cs"/>
          <w:sz w:val="32"/>
          <w:szCs w:val="32"/>
          <w:rtl/>
          <w:lang w:bidi="ar-IQ"/>
        </w:rPr>
        <w:t>اوكيف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</w:t>
      </w:r>
      <w:proofErr w:type="spellStart"/>
      <w:r w:rsidR="00552A92">
        <w:rPr>
          <w:sz w:val="32"/>
          <w:szCs w:val="32"/>
          <w:lang w:bidi="ar-IQ"/>
        </w:rPr>
        <w:t>ogive</w:t>
      </w:r>
      <w:proofErr w:type="spellEnd"/>
      <w:r w:rsidR="00552A92">
        <w:rPr>
          <w:sz w:val="32"/>
          <w:szCs w:val="32"/>
          <w:lang w:bidi="ar-IQ"/>
        </w:rPr>
        <w:t xml:space="preserve"> curve</w:t>
      </w:r>
      <w:r w:rsidR="00552A92">
        <w:rPr>
          <w:rFonts w:hint="cs"/>
          <w:sz w:val="32"/>
          <w:szCs w:val="32"/>
          <w:rtl/>
          <w:lang w:bidi="ar-IQ"/>
        </w:rPr>
        <w:t xml:space="preserve"> .</w:t>
      </w:r>
    </w:p>
    <w:p w:rsidR="00F14AE0" w:rsidRDefault="00F14AE0" w:rsidP="00832059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المدرج التكراري ( </w:t>
      </w:r>
      <w:proofErr w:type="spellStart"/>
      <w:r>
        <w:rPr>
          <w:rFonts w:hint="cs"/>
          <w:sz w:val="32"/>
          <w:szCs w:val="32"/>
          <w:rtl/>
          <w:lang w:bidi="ar-IQ"/>
        </w:rPr>
        <w:t>الهستوكرام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</w:t>
      </w:r>
      <w:r w:rsidR="00552A92">
        <w:rPr>
          <w:sz w:val="32"/>
          <w:szCs w:val="32"/>
          <w:lang w:bidi="ar-IQ"/>
        </w:rPr>
        <w:t>histogram</w:t>
      </w:r>
      <w:r w:rsidR="00552A92">
        <w:rPr>
          <w:rFonts w:hint="cs"/>
          <w:sz w:val="32"/>
          <w:szCs w:val="32"/>
          <w:rtl/>
          <w:lang w:bidi="ar-IQ"/>
        </w:rPr>
        <w:t xml:space="preserve"> .</w:t>
      </w:r>
    </w:p>
    <w:p w:rsidR="00552A92" w:rsidRDefault="00F14AE0" w:rsidP="00832059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552A92">
        <w:rPr>
          <w:rFonts w:hint="cs"/>
          <w:sz w:val="32"/>
          <w:szCs w:val="32"/>
          <w:rtl/>
          <w:lang w:bidi="ar-IQ"/>
        </w:rPr>
        <w:t xml:space="preserve">المستطيلات البيانية العمودية المنفصلة ( الاشرطة البيانية العمودية ) </w:t>
      </w:r>
      <w:r w:rsidR="00552A92">
        <w:rPr>
          <w:sz w:val="32"/>
          <w:szCs w:val="32"/>
          <w:lang w:bidi="ar-IQ"/>
        </w:rPr>
        <w:t>vertical bar graph</w:t>
      </w:r>
      <w:r w:rsidR="00552A92">
        <w:rPr>
          <w:rFonts w:hint="cs"/>
          <w:sz w:val="32"/>
          <w:szCs w:val="32"/>
          <w:rtl/>
          <w:lang w:bidi="ar-IQ"/>
        </w:rPr>
        <w:t xml:space="preserve"> .</w:t>
      </w:r>
    </w:p>
    <w:p w:rsidR="00F14AE0" w:rsidRDefault="00552A92" w:rsidP="00832059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</w:t>
      </w:r>
      <w:r w:rsidR="00F14AE0" w:rsidRPr="00552A92">
        <w:rPr>
          <w:rFonts w:hint="cs"/>
          <w:sz w:val="32"/>
          <w:szCs w:val="32"/>
          <w:rtl/>
          <w:lang w:bidi="ar-IQ"/>
        </w:rPr>
        <w:t xml:space="preserve">لدائرة البيانية </w:t>
      </w:r>
      <w:r w:rsidR="00F14AE0" w:rsidRPr="00552A92">
        <w:rPr>
          <w:sz w:val="32"/>
          <w:szCs w:val="32"/>
          <w:lang w:bidi="ar-IQ"/>
        </w:rPr>
        <w:t xml:space="preserve">pie graph </w:t>
      </w:r>
      <w:r w:rsidR="00F14AE0" w:rsidRPr="00552A92">
        <w:rPr>
          <w:rFonts w:hint="cs"/>
          <w:sz w:val="32"/>
          <w:szCs w:val="32"/>
          <w:rtl/>
          <w:lang w:bidi="ar-IQ"/>
        </w:rPr>
        <w:t xml:space="preserve"> .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552A92" w:rsidRDefault="00552A92" w:rsidP="00832059">
      <w:pPr>
        <w:jc w:val="both"/>
        <w:rPr>
          <w:sz w:val="32"/>
          <w:szCs w:val="32"/>
          <w:rtl/>
          <w:lang w:bidi="ar-IQ"/>
        </w:rPr>
      </w:pPr>
    </w:p>
    <w:p w:rsidR="00552A92" w:rsidRDefault="00552A92" w:rsidP="00832059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منحني التوزيع التكراري الاعتيادي </w:t>
      </w:r>
    </w:p>
    <w:p w:rsidR="00552A92" w:rsidRDefault="00552A92" w:rsidP="00832059">
      <w:pPr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يمثل نصفه الاول الذي يبدأ من جهة اليسار الفئات النازلة ويمثل نصفه الثاني الذي يقع في جهة اليمين الفئات الصاعدة . اما نقطة وسط المنحني فتمثل الفئات التي تكررت اكثر من غيرها </w:t>
      </w:r>
      <w:r w:rsidR="00EC13CC">
        <w:rPr>
          <w:rFonts w:hint="cs"/>
          <w:sz w:val="32"/>
          <w:szCs w:val="32"/>
          <w:rtl/>
          <w:lang w:bidi="ar-IQ"/>
        </w:rPr>
        <w:t xml:space="preserve">من بقية الفئات النازلة او الصاعدة . ويكون منحني التوزيع التكراري الاعتيادي عند اكمال الرسم يكون على شكل جرس . </w:t>
      </w:r>
    </w:p>
    <w:p w:rsidR="00EC13CC" w:rsidRDefault="00EC13CC" w:rsidP="00832059">
      <w:pPr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شروط تمثيل البيانات التكرارية في منحني توزيع تكراري اعتيادي بالنقاط التالية : -</w:t>
      </w:r>
    </w:p>
    <w:p w:rsidR="00C556A4" w:rsidRDefault="00C556A4" w:rsidP="00832059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احتساب قيم اوساط المراتب او مراكز المراتب (س) وذلك من خلال جمع النهاية الصغرى والكبرى لكل مرتبة وتقسيمها على (2) . </w:t>
      </w:r>
    </w:p>
    <w:p w:rsidR="00C556A4" w:rsidRDefault="00C556A4" w:rsidP="00832059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رسم مقياس يتكون من قطبين : القطب العمودي الذي تمثل عليه التكرارات ( عدد الاطفال ) والقطب الافقي الذي تمثل عليه اوساط او مراكز المراتب . </w:t>
      </w:r>
    </w:p>
    <w:p w:rsidR="00C556A4" w:rsidRDefault="00C556A4" w:rsidP="00832059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تمثيل البيانات المطلوبة على المقياس , ويتم التمثيل بوضع اشارات في الاماكن المناسبة لتوضح العلاقة بين اوزان الاطفال واعدادهم , ثم رسم المنحني</w:t>
      </w:r>
      <w:r w:rsidR="00435AAA">
        <w:rPr>
          <w:rFonts w:hint="cs"/>
          <w:sz w:val="32"/>
          <w:szCs w:val="32"/>
          <w:rtl/>
          <w:lang w:bidi="ar-IQ"/>
        </w:rPr>
        <w:t xml:space="preserve">  . </w:t>
      </w:r>
    </w:p>
    <w:p w:rsidR="00435AAA" w:rsidRDefault="00435AAA" w:rsidP="00832059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يجب وضع عنوان بارز للشكل البياني مع وضع اسماء القطبين . </w:t>
      </w:r>
    </w:p>
    <w:p w:rsidR="00435AAA" w:rsidRDefault="00435AAA" w:rsidP="00832059">
      <w:pPr>
        <w:jc w:val="both"/>
        <w:rPr>
          <w:sz w:val="32"/>
          <w:szCs w:val="32"/>
          <w:rtl/>
          <w:lang w:bidi="ar-IQ"/>
        </w:rPr>
      </w:pPr>
    </w:p>
    <w:p w:rsidR="00435AAA" w:rsidRDefault="00435AAA" w:rsidP="00832059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:- الجدول التالي يوضح اوزان اطفال مدرسة , المطلوب تمثيل الجدول برسم المنحني التوزيع التكراري الاعتيادي ؟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الأوزان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عدد الأطفال</w:t>
            </w:r>
          </w:p>
        </w:tc>
        <w:tc>
          <w:tcPr>
            <w:tcW w:w="2841" w:type="dxa"/>
          </w:tcPr>
          <w:p w:rsidR="00F8050D" w:rsidRDefault="00F8050D" w:rsidP="00F8050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 (نقطة الوسط)</w:t>
            </w:r>
          </w:p>
        </w:tc>
      </w:tr>
      <w:tr w:rsidR="00F8050D" w:rsidTr="00F8050D">
        <w:tc>
          <w:tcPr>
            <w:tcW w:w="2840" w:type="dxa"/>
          </w:tcPr>
          <w:p w:rsidR="00F8050D" w:rsidRPr="00F8050D" w:rsidRDefault="00F8050D" w:rsidP="00F8050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10-11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12- 13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14- 15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16- 17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25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16.5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18- 19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18.5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20- 21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22- 23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22.5</w:t>
            </w:r>
          </w:p>
        </w:tc>
      </w:tr>
      <w:tr w:rsidR="00F8050D" w:rsidTr="00F8050D">
        <w:tc>
          <w:tcPr>
            <w:tcW w:w="2840" w:type="dxa"/>
          </w:tcPr>
          <w:p w:rsidR="00F8050D" w:rsidRDefault="00F8050D" w:rsidP="00832059">
            <w:pPr>
              <w:jc w:val="both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86</w:t>
            </w:r>
          </w:p>
        </w:tc>
        <w:tc>
          <w:tcPr>
            <w:tcW w:w="2841" w:type="dxa"/>
          </w:tcPr>
          <w:p w:rsidR="00F8050D" w:rsidRDefault="00F8050D" w:rsidP="00832059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F8050D" w:rsidRDefault="00F8050D" w:rsidP="00832059">
      <w:pPr>
        <w:jc w:val="both"/>
        <w:rPr>
          <w:rFonts w:hint="cs"/>
          <w:sz w:val="32"/>
          <w:szCs w:val="32"/>
          <w:rtl/>
          <w:lang w:bidi="ar-IQ"/>
        </w:rPr>
      </w:pPr>
    </w:p>
    <w:p w:rsidR="00F8050D" w:rsidRDefault="00F8050D" w:rsidP="00832059">
      <w:pPr>
        <w:jc w:val="both"/>
        <w:rPr>
          <w:rFonts w:hint="cs"/>
          <w:sz w:val="32"/>
          <w:szCs w:val="32"/>
          <w:rtl/>
          <w:lang w:bidi="ar-IQ"/>
        </w:rPr>
      </w:pPr>
    </w:p>
    <w:p w:rsidR="00F8050D" w:rsidRDefault="00503745" w:rsidP="00832059">
      <w:pPr>
        <w:jc w:val="both"/>
        <w:rPr>
          <w:rFonts w:hint="cs"/>
          <w:sz w:val="32"/>
          <w:szCs w:val="32"/>
          <w:rtl/>
          <w:lang w:bidi="ar-IQ"/>
        </w:rPr>
      </w:pPr>
      <w:bookmarkStart w:id="0" w:name="_GoBack"/>
      <w:r>
        <w:rPr>
          <w:rFonts w:hint="cs"/>
          <w:noProof/>
          <w:sz w:val="32"/>
          <w:szCs w:val="32"/>
          <w:rtl/>
        </w:rPr>
        <w:drawing>
          <wp:inline distT="0" distB="0" distL="0" distR="0">
            <wp:extent cx="5274310" cy="3076575"/>
            <wp:effectExtent l="0" t="0" r="21590" b="9525"/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F8050D" w:rsidRPr="00435AAA" w:rsidRDefault="00F8050D" w:rsidP="00832059">
      <w:pPr>
        <w:jc w:val="both"/>
        <w:rPr>
          <w:sz w:val="32"/>
          <w:szCs w:val="32"/>
          <w:lang w:bidi="ar-IQ"/>
        </w:rPr>
      </w:pPr>
    </w:p>
    <w:sectPr w:rsidR="00F8050D" w:rsidRPr="00435AAA" w:rsidSect="00885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6B" w:rsidRDefault="00091C6B" w:rsidP="00832059">
      <w:pPr>
        <w:spacing w:after="0" w:line="240" w:lineRule="auto"/>
      </w:pPr>
      <w:r>
        <w:separator/>
      </w:r>
    </w:p>
  </w:endnote>
  <w:endnote w:type="continuationSeparator" w:id="0">
    <w:p w:rsidR="00091C6B" w:rsidRDefault="00091C6B" w:rsidP="0083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6B" w:rsidRDefault="00091C6B" w:rsidP="00832059">
      <w:pPr>
        <w:spacing w:after="0" w:line="240" w:lineRule="auto"/>
      </w:pPr>
      <w:r>
        <w:separator/>
      </w:r>
    </w:p>
  </w:footnote>
  <w:footnote w:type="continuationSeparator" w:id="0">
    <w:p w:rsidR="00091C6B" w:rsidRDefault="00091C6B" w:rsidP="0083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59" w:rsidRDefault="008320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1FA"/>
    <w:multiLevelType w:val="hybridMultilevel"/>
    <w:tmpl w:val="F0AEF66A"/>
    <w:lvl w:ilvl="0" w:tplc="9F46C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2353"/>
    <w:multiLevelType w:val="hybridMultilevel"/>
    <w:tmpl w:val="8692172E"/>
    <w:lvl w:ilvl="0" w:tplc="25B03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755A"/>
    <w:multiLevelType w:val="hybridMultilevel"/>
    <w:tmpl w:val="C512FB68"/>
    <w:lvl w:ilvl="0" w:tplc="8446D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32985"/>
    <w:multiLevelType w:val="hybridMultilevel"/>
    <w:tmpl w:val="F1560D60"/>
    <w:lvl w:ilvl="0" w:tplc="39E8E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2F"/>
    <w:rsid w:val="000735FE"/>
    <w:rsid w:val="00091C6B"/>
    <w:rsid w:val="00435AAA"/>
    <w:rsid w:val="0044282F"/>
    <w:rsid w:val="00503745"/>
    <w:rsid w:val="00534F71"/>
    <w:rsid w:val="00552A92"/>
    <w:rsid w:val="0060254B"/>
    <w:rsid w:val="00832059"/>
    <w:rsid w:val="008850C4"/>
    <w:rsid w:val="00C556A4"/>
    <w:rsid w:val="00EA52CE"/>
    <w:rsid w:val="00EC13CC"/>
    <w:rsid w:val="00F14AE0"/>
    <w:rsid w:val="00F8050D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32059"/>
  </w:style>
  <w:style w:type="paragraph" w:styleId="a5">
    <w:name w:val="footer"/>
    <w:basedOn w:val="a"/>
    <w:link w:val="Char0"/>
    <w:uiPriority w:val="99"/>
    <w:unhideWhenUsed/>
    <w:rsid w:val="008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32059"/>
  </w:style>
  <w:style w:type="table" w:styleId="a6">
    <w:name w:val="Table Grid"/>
    <w:basedOn w:val="a1"/>
    <w:uiPriority w:val="59"/>
    <w:rsid w:val="00F8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8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80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E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32059"/>
  </w:style>
  <w:style w:type="paragraph" w:styleId="a5">
    <w:name w:val="footer"/>
    <w:basedOn w:val="a"/>
    <w:link w:val="Char0"/>
    <w:uiPriority w:val="99"/>
    <w:unhideWhenUsed/>
    <w:rsid w:val="008320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32059"/>
  </w:style>
  <w:style w:type="table" w:styleId="a6">
    <w:name w:val="Table Grid"/>
    <w:basedOn w:val="a1"/>
    <w:uiPriority w:val="59"/>
    <w:rsid w:val="00F8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8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8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percentStack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الأطفال</c:v>
                </c:pt>
              </c:strCache>
            </c:strRef>
          </c:tx>
          <c:marker>
            <c:symbol val="none"/>
          </c:marker>
          <c:cat>
            <c:strRef>
              <c:f>ورقة1!$A$2:$A$8</c:f>
              <c:strCache>
                <c:ptCount val="7"/>
                <c:pt idx="0">
                  <c:v>فئة1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  <c:pt idx="5">
                  <c:v>12</c:v>
                </c:pt>
                <c:pt idx="6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س (نقطة الوسط)</c:v>
                </c:pt>
              </c:strCache>
            </c:strRef>
          </c:tx>
          <c:marker>
            <c:symbol val="none"/>
          </c:marker>
          <c:cat>
            <c:strRef>
              <c:f>ورقة1!$A$2:$A$8</c:f>
              <c:strCache>
                <c:ptCount val="7"/>
                <c:pt idx="0">
                  <c:v>فئة1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ورقة1!$C$2:$C$8</c:f>
              <c:numCache>
                <c:formatCode>General</c:formatCode>
                <c:ptCount val="7"/>
                <c:pt idx="0">
                  <c:v>10.5</c:v>
                </c:pt>
                <c:pt idx="1">
                  <c:v>12.5</c:v>
                </c:pt>
                <c:pt idx="2">
                  <c:v>14.5</c:v>
                </c:pt>
                <c:pt idx="3">
                  <c:v>16.5</c:v>
                </c:pt>
                <c:pt idx="4">
                  <c:v>18.5</c:v>
                </c:pt>
                <c:pt idx="5">
                  <c:v>20.5</c:v>
                </c:pt>
                <c:pt idx="6">
                  <c:v>22.5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عمود1</c:v>
                </c:pt>
              </c:strCache>
            </c:strRef>
          </c:tx>
          <c:marker>
            <c:symbol val="none"/>
          </c:marker>
          <c:cat>
            <c:strRef>
              <c:f>ورقة1!$A$2:$A$8</c:f>
              <c:strCache>
                <c:ptCount val="7"/>
                <c:pt idx="0">
                  <c:v>فئة1</c:v>
                </c:pt>
                <c:pt idx="1">
                  <c:v>فئة 2</c:v>
                </c:pt>
                <c:pt idx="2">
                  <c:v>فئة 3</c:v>
                </c:pt>
                <c:pt idx="3">
                  <c:v>فئة 4</c:v>
                </c:pt>
                <c:pt idx="4">
                  <c:v>فئة 5</c:v>
                </c:pt>
                <c:pt idx="5">
                  <c:v>فئة 6</c:v>
                </c:pt>
                <c:pt idx="6">
                  <c:v>فئة 7</c:v>
                </c:pt>
              </c:strCache>
            </c:strRef>
          </c:cat>
          <c:val>
            <c:numRef>
              <c:f>ورقة1!$D$2:$D$8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015296"/>
        <c:axId val="185037568"/>
      </c:lineChart>
      <c:catAx>
        <c:axId val="185015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5037568"/>
        <c:crosses val="autoZero"/>
        <c:auto val="1"/>
        <c:lblAlgn val="ctr"/>
        <c:lblOffset val="100"/>
        <c:noMultiLvlLbl val="0"/>
      </c:catAx>
      <c:valAx>
        <c:axId val="185037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501529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37DB-D1C3-4149-AB29-C164804E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8</cp:revision>
  <dcterms:created xsi:type="dcterms:W3CDTF">2020-03-30T14:01:00Z</dcterms:created>
  <dcterms:modified xsi:type="dcterms:W3CDTF">2020-03-30T19:01:00Z</dcterms:modified>
</cp:coreProperties>
</file>