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61D" w:rsidRPr="00CA408B" w:rsidRDefault="0092561D" w:rsidP="0092561D">
      <w:pPr>
        <w:pStyle w:val="a5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المبادلة بالمثل</w:t>
      </w:r>
      <w:r w:rsidRPr="00CA408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A408B">
        <w:rPr>
          <w:rFonts w:ascii="Simplified Arabic" w:hAnsi="Simplified Arabic" w:cs="Simplified Arabic"/>
          <w:b/>
          <w:bCs/>
          <w:i/>
          <w:iCs/>
          <w:sz w:val="32"/>
          <w:szCs w:val="32"/>
          <w:lang w:bidi="ar-IQ"/>
        </w:rPr>
        <w:t>Reciprocity</w:t>
      </w:r>
      <w:r w:rsidRPr="00CA408B">
        <w:rPr>
          <w:rFonts w:ascii="Simplified Arabic" w:hAnsi="Simplified Arabic" w:cs="Simplified Arabic"/>
          <w:sz w:val="32"/>
          <w:szCs w:val="32"/>
          <w:rtl/>
          <w:lang w:bidi="ar-IQ"/>
        </w:rPr>
        <w:t>: رد الخدمات والمنافع المادية, بخدمات ومنافع مادية مماثلة, والوقوف مواقف معنوية, واظهار مشاركة وجدانية مشابهة, والمقابلة بالمثل من السمات الاساسية في الحياة الاقتصادية والاجتماعية للشعوب البدائية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  <w:r w:rsidRPr="00CA408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فالفرد لا يمكن ان يحص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ل</w:t>
      </w:r>
      <w:r w:rsidRPr="00CA408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في تلك الشعوب على الخدمات, والمنافع, والاسناد المعنوي, والمشاركة الوجدانية, بغير تطبيق مبدأ المقابلة بالمثل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  <w:r w:rsidRPr="00CA408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وقد </w:t>
      </w:r>
      <w:r w:rsidRPr="00CA408B">
        <w:rPr>
          <w:rFonts w:ascii="Simplified Arabic" w:hAnsi="Simplified Arabic" w:cs="Simplified Arabic"/>
          <w:sz w:val="32"/>
          <w:szCs w:val="32"/>
          <w:rtl/>
        </w:rPr>
        <w:t xml:space="preserve">ارتبط تفسير التناوب بدراسة </w:t>
      </w:r>
      <w:proofErr w:type="spellStart"/>
      <w:r w:rsidRPr="00CA408B">
        <w:rPr>
          <w:rFonts w:ascii="Simplified Arabic" w:hAnsi="Simplified Arabic" w:cs="Simplified Arabic"/>
          <w:sz w:val="32"/>
          <w:szCs w:val="32"/>
          <w:rtl/>
        </w:rPr>
        <w:t>مالينوفسكي</w:t>
      </w:r>
      <w:proofErr w:type="spellEnd"/>
      <w:r w:rsidRPr="00CA408B">
        <w:rPr>
          <w:rFonts w:ascii="Simplified Arabic" w:hAnsi="Simplified Arabic" w:cs="Simplified Arabic"/>
          <w:sz w:val="32"/>
          <w:szCs w:val="32"/>
          <w:rtl/>
        </w:rPr>
        <w:t xml:space="preserve"> لنظم تبادل الهدايا الـ(كولا) الذي وصفه لأول مرة بإسهاب في جزر </w:t>
      </w:r>
      <w:proofErr w:type="spellStart"/>
      <w:r w:rsidRPr="00CA408B">
        <w:rPr>
          <w:rFonts w:ascii="Simplified Arabic" w:hAnsi="Simplified Arabic" w:cs="Simplified Arabic"/>
          <w:sz w:val="32"/>
          <w:szCs w:val="32"/>
          <w:rtl/>
        </w:rPr>
        <w:t>التروبرياند</w:t>
      </w:r>
      <w:proofErr w:type="spellEnd"/>
      <w:r w:rsidRPr="00CA40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إذ</w:t>
      </w:r>
      <w:r w:rsidRPr="00CA408B">
        <w:rPr>
          <w:rFonts w:ascii="Simplified Arabic" w:hAnsi="Simplified Arabic" w:cs="Simplified Arabic"/>
          <w:sz w:val="32"/>
          <w:szCs w:val="32"/>
          <w:rtl/>
        </w:rPr>
        <w:t xml:space="preserve"> يرى ان العلائق الاجتماعية كلها تطورت من مجموعة واجبات وامتيازات مستندة الى (مبدأ </w:t>
      </w:r>
      <w:r>
        <w:rPr>
          <w:rFonts w:ascii="Simplified Arabic" w:hAnsi="Simplified Arabic" w:cs="Simplified Arabic" w:hint="cs"/>
          <w:sz w:val="32"/>
          <w:szCs w:val="32"/>
          <w:rtl/>
        </w:rPr>
        <w:t>المبادلة</w:t>
      </w:r>
      <w:r w:rsidRPr="00CA408B">
        <w:rPr>
          <w:rFonts w:ascii="Simplified Arabic" w:hAnsi="Simplified Arabic" w:cs="Simplified Arabic"/>
          <w:sz w:val="32"/>
          <w:szCs w:val="32"/>
          <w:rtl/>
        </w:rPr>
        <w:t xml:space="preserve"> بالمثل)</w:t>
      </w:r>
      <w:r>
        <w:rPr>
          <w:rStyle w:val="a4"/>
          <w:rFonts w:ascii="Simplified Arabic" w:hAnsi="Simplified Arabic" w:cs="Simplified Arabic"/>
          <w:sz w:val="32"/>
          <w:szCs w:val="32"/>
          <w:rtl/>
          <w:lang w:bidi="ar-IQ"/>
        </w:rPr>
        <w:footnoteReference w:customMarkFollows="1" w:id="1"/>
        <w:t>(2)</w:t>
      </w:r>
      <w:r w:rsidRPr="00CA408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ويشير التناوب عند </w:t>
      </w:r>
      <w:proofErr w:type="spellStart"/>
      <w:r w:rsidRPr="00CA408B">
        <w:rPr>
          <w:rFonts w:ascii="Simplified Arabic" w:hAnsi="Simplified Arabic" w:cs="Simplified Arabic"/>
          <w:sz w:val="32"/>
          <w:szCs w:val="32"/>
          <w:rtl/>
          <w:lang w:bidi="ar-IQ"/>
        </w:rPr>
        <w:t>بولاني</w:t>
      </w:r>
      <w:proofErr w:type="spellEnd"/>
      <w:r w:rsidRPr="00CA408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الى الحركة (حركة السلع) في حالة معينة وهي حالة انقسام المجتمع الى أقسام متماثلة اي حالة النظام الانقسامي, مثل التبادل الشعائري الذي يتمثل في تبادل الهدايا </w:t>
      </w:r>
      <w:r w:rsidRPr="00CA408B">
        <w:rPr>
          <w:rFonts w:ascii="Simplified Arabic" w:hAnsi="Simplified Arabic" w:cs="Simplified Arabic"/>
          <w:b/>
          <w:bCs/>
          <w:i/>
          <w:iCs/>
          <w:sz w:val="32"/>
          <w:szCs w:val="32"/>
          <w:lang w:bidi="ar-IQ"/>
        </w:rPr>
        <w:t>Pattern of</w:t>
      </w:r>
      <w:r w:rsidRPr="00CA408B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CA408B">
        <w:rPr>
          <w:rFonts w:ascii="Simplified Arabic" w:hAnsi="Simplified Arabic" w:cs="Simplified Arabic"/>
          <w:b/>
          <w:bCs/>
          <w:i/>
          <w:iCs/>
          <w:sz w:val="32"/>
          <w:szCs w:val="32"/>
          <w:lang w:bidi="ar-IQ"/>
        </w:rPr>
        <w:t>Gift Exchange</w:t>
      </w:r>
      <w:r w:rsidRPr="00CA408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بين العائلات والقبائل وذلك في حالة المجتمعات الانقسامية</w:t>
      </w:r>
    </w:p>
    <w:p w:rsidR="0092561D" w:rsidRPr="00CA408B" w:rsidRDefault="0092561D" w:rsidP="0092561D">
      <w:pPr>
        <w:pStyle w:val="a5"/>
        <w:numPr>
          <w:ilvl w:val="0"/>
          <w:numId w:val="1"/>
        </w:numPr>
        <w:spacing w:after="120"/>
        <w:ind w:right="180"/>
        <w:jc w:val="lowKashida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إ</w:t>
      </w:r>
      <w:r w:rsidRPr="00CA408B">
        <w:rPr>
          <w:rFonts w:ascii="Simplified Arabic" w:hAnsi="Simplified Arabic" w:cs="Simplified Arabic"/>
          <w:b/>
          <w:bCs/>
          <w:sz w:val="32"/>
          <w:szCs w:val="32"/>
          <w:rtl/>
        </w:rPr>
        <w:t>عادة التوزيع</w:t>
      </w:r>
      <w:r w:rsidRPr="00CA40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A408B">
        <w:rPr>
          <w:rFonts w:ascii="Simplified Arabic" w:hAnsi="Simplified Arabic" w:cs="Simplified Arabic"/>
          <w:b/>
          <w:bCs/>
          <w:i/>
          <w:iCs/>
          <w:sz w:val="32"/>
          <w:szCs w:val="32"/>
        </w:rPr>
        <w:t>Redistribution</w:t>
      </w:r>
      <w:r w:rsidRPr="00CA408B">
        <w:rPr>
          <w:rFonts w:ascii="Simplified Arabic" w:hAnsi="Simplified Arabic" w:cs="Simplified Arabic"/>
          <w:sz w:val="32"/>
          <w:szCs w:val="32"/>
          <w:rtl/>
        </w:rPr>
        <w:t>: يعرف هذا النمط في ابسط صورة بأنه عبارة عن تجميع السلع بوساطة المنتجين لإتاحتها للاستخدام المشترك للجماعة وإفرادها مثل تجميع الطعام الذي ينتجه أعضاء وحدة المعيشة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Pr="00CA408B">
        <w:rPr>
          <w:rFonts w:ascii="Simplified Arabic" w:hAnsi="Simplified Arabic" w:cs="Simplified Arabic"/>
          <w:sz w:val="32"/>
          <w:szCs w:val="32"/>
          <w:rtl/>
        </w:rPr>
        <w:t xml:space="preserve"> إما في صورته المؤسسية الأكثر تعقيداً فيعني حركة السلع وانتقالها إلى مركز سياسي أو إداري ، إذ يعاد توزيعها مرة أخرى على المستهلكين ويوجد شكل أو أخر من </w:t>
      </w:r>
      <w:r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Pr="00CA408B">
        <w:rPr>
          <w:rFonts w:ascii="Simplified Arabic" w:hAnsi="Simplified Arabic" w:cs="Simplified Arabic"/>
          <w:sz w:val="32"/>
          <w:szCs w:val="32"/>
          <w:rtl/>
        </w:rPr>
        <w:t>شكال إعادة التوزيع في النظم الاقتصادية كافة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CA408B">
        <w:rPr>
          <w:rFonts w:ascii="Simplified Arabic" w:hAnsi="Simplified Arabic" w:cs="Simplified Arabic"/>
          <w:sz w:val="32"/>
          <w:szCs w:val="32"/>
          <w:rtl/>
        </w:rPr>
        <w:t xml:space="preserve"> ولكن إعادة </w:t>
      </w:r>
      <w:r w:rsidRPr="00CA408B">
        <w:rPr>
          <w:rFonts w:ascii="Simplified Arabic" w:hAnsi="Simplified Arabic" w:cs="Simplified Arabic"/>
          <w:sz w:val="32"/>
          <w:szCs w:val="32"/>
          <w:rtl/>
        </w:rPr>
        <w:lastRenderedPageBreak/>
        <w:t>التوزيع هو النمط المسيطر في المجتمعات الإقطاعية ومجتمعات الكيانات الرئاسية</w:t>
      </w:r>
      <w:r>
        <w:rPr>
          <w:rStyle w:val="a4"/>
          <w:rFonts w:ascii="Simplified Arabic" w:hAnsi="Simplified Arabic" w:cs="Simplified Arabic"/>
          <w:sz w:val="32"/>
          <w:szCs w:val="32"/>
          <w:rtl/>
        </w:rPr>
        <w:footnoteReference w:customMarkFollows="1" w:id="2"/>
        <w:t>(1)</w:t>
      </w:r>
      <w:r w:rsidRPr="00CA408B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CD0301" w:rsidRPr="0092561D" w:rsidRDefault="00CD0301" w:rsidP="0092561D">
      <w:bookmarkStart w:id="0" w:name="_GoBack"/>
      <w:bookmarkEnd w:id="0"/>
    </w:p>
    <w:sectPr w:rsidR="00CD0301" w:rsidRPr="0092561D" w:rsidSect="00FD714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766" w:rsidRDefault="00481766" w:rsidP="00B84903">
      <w:pPr>
        <w:spacing w:after="0" w:line="240" w:lineRule="auto"/>
      </w:pPr>
      <w:r>
        <w:separator/>
      </w:r>
    </w:p>
  </w:endnote>
  <w:endnote w:type="continuationSeparator" w:id="0">
    <w:p w:rsidR="00481766" w:rsidRDefault="00481766" w:rsidP="00B84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766" w:rsidRDefault="00481766" w:rsidP="00B84903">
      <w:pPr>
        <w:spacing w:after="0" w:line="240" w:lineRule="auto"/>
      </w:pPr>
      <w:r>
        <w:separator/>
      </w:r>
    </w:p>
  </w:footnote>
  <w:footnote w:type="continuationSeparator" w:id="0">
    <w:p w:rsidR="00481766" w:rsidRDefault="00481766" w:rsidP="00B84903">
      <w:pPr>
        <w:spacing w:after="0" w:line="240" w:lineRule="auto"/>
      </w:pPr>
      <w:r>
        <w:continuationSeparator/>
      </w:r>
    </w:p>
  </w:footnote>
  <w:footnote w:id="1">
    <w:p w:rsidR="0092561D" w:rsidRPr="00331E61" w:rsidRDefault="0092561D" w:rsidP="0092561D">
      <w:pPr>
        <w:pStyle w:val="a3"/>
        <w:rPr>
          <w:sz w:val="28"/>
          <w:szCs w:val="28"/>
        </w:rPr>
      </w:pPr>
      <w:r w:rsidRPr="00331E61">
        <w:rPr>
          <w:rStyle w:val="a4"/>
          <w:sz w:val="28"/>
          <w:szCs w:val="28"/>
          <w:rtl/>
        </w:rPr>
        <w:t>(2)</w:t>
      </w:r>
      <w:r w:rsidRPr="00331E61">
        <w:rPr>
          <w:rFonts w:hint="cs"/>
          <w:sz w:val="28"/>
          <w:szCs w:val="28"/>
          <w:rtl/>
        </w:rPr>
        <w:t xml:space="preserve"> د. سليم, شاكر مصطفى, مصدر سابق, ص8</w:t>
      </w:r>
      <w:r>
        <w:rPr>
          <w:rFonts w:hint="cs"/>
          <w:sz w:val="28"/>
          <w:szCs w:val="28"/>
          <w:rtl/>
        </w:rPr>
        <w:t>10</w:t>
      </w:r>
      <w:r w:rsidRPr="00331E61">
        <w:rPr>
          <w:rFonts w:hint="cs"/>
          <w:sz w:val="28"/>
          <w:szCs w:val="28"/>
          <w:rtl/>
        </w:rPr>
        <w:t>.</w:t>
      </w:r>
    </w:p>
  </w:footnote>
  <w:footnote w:id="2">
    <w:p w:rsidR="0092561D" w:rsidRPr="00331E61" w:rsidRDefault="0092561D" w:rsidP="0092561D">
      <w:pPr>
        <w:pStyle w:val="a3"/>
        <w:rPr>
          <w:sz w:val="28"/>
          <w:szCs w:val="28"/>
        </w:rPr>
      </w:pPr>
      <w:r w:rsidRPr="00331E61">
        <w:rPr>
          <w:rStyle w:val="a4"/>
          <w:sz w:val="28"/>
          <w:szCs w:val="28"/>
          <w:rtl/>
        </w:rPr>
        <w:t>(1)</w:t>
      </w:r>
      <w:r w:rsidRPr="00331E61">
        <w:rPr>
          <w:sz w:val="28"/>
          <w:szCs w:val="28"/>
          <w:rtl/>
        </w:rPr>
        <w:t xml:space="preserve"> </w:t>
      </w:r>
      <w:r w:rsidRPr="00331E61">
        <w:rPr>
          <w:rFonts w:hint="eastAsia"/>
          <w:sz w:val="28"/>
          <w:szCs w:val="28"/>
          <w:rtl/>
        </w:rPr>
        <w:t>سميث</w:t>
      </w:r>
      <w:r w:rsidRPr="00331E61">
        <w:rPr>
          <w:sz w:val="28"/>
          <w:szCs w:val="28"/>
          <w:rtl/>
        </w:rPr>
        <w:t xml:space="preserve">, </w:t>
      </w:r>
      <w:r w:rsidRPr="00331E61">
        <w:rPr>
          <w:rFonts w:hint="eastAsia"/>
          <w:sz w:val="28"/>
          <w:szCs w:val="28"/>
          <w:rtl/>
        </w:rPr>
        <w:t>شارلوت</w:t>
      </w:r>
      <w:r w:rsidRPr="00331E61">
        <w:rPr>
          <w:sz w:val="28"/>
          <w:szCs w:val="28"/>
          <w:rtl/>
        </w:rPr>
        <w:t xml:space="preserve"> </w:t>
      </w:r>
      <w:r w:rsidRPr="00331E61">
        <w:rPr>
          <w:rFonts w:hint="eastAsia"/>
          <w:sz w:val="28"/>
          <w:szCs w:val="28"/>
          <w:rtl/>
        </w:rPr>
        <w:t>سيمور</w:t>
      </w:r>
      <w:r w:rsidRPr="00331E61">
        <w:rPr>
          <w:sz w:val="28"/>
          <w:szCs w:val="28"/>
          <w:rtl/>
        </w:rPr>
        <w:t xml:space="preserve">: </w:t>
      </w:r>
      <w:r w:rsidRPr="00331E61">
        <w:rPr>
          <w:rFonts w:hint="eastAsia"/>
          <w:sz w:val="28"/>
          <w:szCs w:val="28"/>
          <w:rtl/>
        </w:rPr>
        <w:t>،</w:t>
      </w:r>
      <w:r w:rsidRPr="00331E61">
        <w:rPr>
          <w:sz w:val="28"/>
          <w:szCs w:val="28"/>
          <w:rtl/>
        </w:rPr>
        <w:t xml:space="preserve"> </w:t>
      </w:r>
      <w:r w:rsidRPr="00331E61">
        <w:rPr>
          <w:rFonts w:hint="eastAsia"/>
          <w:sz w:val="28"/>
          <w:szCs w:val="28"/>
          <w:rtl/>
        </w:rPr>
        <w:t>مصدر</w:t>
      </w:r>
      <w:r w:rsidRPr="00331E61">
        <w:rPr>
          <w:sz w:val="28"/>
          <w:szCs w:val="28"/>
          <w:rtl/>
        </w:rPr>
        <w:t xml:space="preserve"> </w:t>
      </w:r>
      <w:r w:rsidRPr="00331E61">
        <w:rPr>
          <w:rFonts w:hint="eastAsia"/>
          <w:sz w:val="28"/>
          <w:szCs w:val="28"/>
          <w:rtl/>
        </w:rPr>
        <w:t>سابق،</w:t>
      </w:r>
      <w:r w:rsidRPr="00331E61">
        <w:rPr>
          <w:sz w:val="28"/>
          <w:szCs w:val="28"/>
          <w:rtl/>
        </w:rPr>
        <w:t xml:space="preserve"> </w:t>
      </w:r>
      <w:r w:rsidRPr="00331E61">
        <w:rPr>
          <w:rFonts w:hint="eastAsia"/>
          <w:sz w:val="28"/>
          <w:szCs w:val="28"/>
          <w:rtl/>
        </w:rPr>
        <w:t>ص</w:t>
      </w:r>
      <w:r w:rsidRPr="00331E61">
        <w:rPr>
          <w:sz w:val="28"/>
          <w:szCs w:val="28"/>
          <w:rtl/>
        </w:rPr>
        <w:t xml:space="preserve"> 101.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27A00"/>
    <w:multiLevelType w:val="hybridMultilevel"/>
    <w:tmpl w:val="0EB825CC"/>
    <w:lvl w:ilvl="0" w:tplc="8BF0F530">
      <w:start w:val="1"/>
      <w:numFmt w:val="decimal"/>
      <w:lvlText w:val="%1-"/>
      <w:lvlJc w:val="left"/>
      <w:pPr>
        <w:ind w:left="502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03"/>
    <w:rsid w:val="00481766"/>
    <w:rsid w:val="005B441E"/>
    <w:rsid w:val="0092561D"/>
    <w:rsid w:val="00B84903"/>
    <w:rsid w:val="00CB3EB0"/>
    <w:rsid w:val="00CD0301"/>
    <w:rsid w:val="00FD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03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B84903"/>
    <w:pPr>
      <w:spacing w:after="0" w:line="240" w:lineRule="auto"/>
    </w:pPr>
    <w:rPr>
      <w:rFonts w:ascii="Times New Roman" w:eastAsia="Times New Roman" w:hAnsi="Times New Roman" w:cs="Simplified Arabic"/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rsid w:val="00B84903"/>
    <w:rPr>
      <w:rFonts w:ascii="Times New Roman" w:eastAsia="Times New Roman" w:hAnsi="Times New Roman" w:cs="Simplified Arabic"/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B84903"/>
    <w:rPr>
      <w:vertAlign w:val="superscript"/>
    </w:rPr>
  </w:style>
  <w:style w:type="paragraph" w:styleId="a5">
    <w:name w:val="List Paragraph"/>
    <w:basedOn w:val="a"/>
    <w:uiPriority w:val="34"/>
    <w:qFormat/>
    <w:rsid w:val="0092561D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03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B84903"/>
    <w:pPr>
      <w:spacing w:after="0" w:line="240" w:lineRule="auto"/>
    </w:pPr>
    <w:rPr>
      <w:rFonts w:ascii="Times New Roman" w:eastAsia="Times New Roman" w:hAnsi="Times New Roman" w:cs="Simplified Arabic"/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rsid w:val="00B84903"/>
    <w:rPr>
      <w:rFonts w:ascii="Times New Roman" w:eastAsia="Times New Roman" w:hAnsi="Times New Roman" w:cs="Simplified Arabic"/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B84903"/>
    <w:rPr>
      <w:vertAlign w:val="superscript"/>
    </w:rPr>
  </w:style>
  <w:style w:type="paragraph" w:styleId="a5">
    <w:name w:val="List Paragraph"/>
    <w:basedOn w:val="a"/>
    <w:uiPriority w:val="34"/>
    <w:qFormat/>
    <w:rsid w:val="0092561D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1121</Characters>
  <Application>Microsoft Office Word</Application>
  <DocSecurity>0</DocSecurity>
  <Lines>9</Lines>
  <Paragraphs>2</Paragraphs>
  <ScaleCrop>false</ScaleCrop>
  <Company>SACC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2</cp:revision>
  <dcterms:created xsi:type="dcterms:W3CDTF">2024-01-01T15:14:00Z</dcterms:created>
  <dcterms:modified xsi:type="dcterms:W3CDTF">2024-01-01T15:14:00Z</dcterms:modified>
</cp:coreProperties>
</file>