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162735" w:rsidRDefault="00EF650F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 w:rsidRPr="00EF650F"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3952E8" w:rsidRPr="003952E8" w:rsidRDefault="009F1EC9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EF650F"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025D4F" w:rsidRPr="00162735" w:rsidRDefault="00BD3273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162735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>(</w:t>
      </w:r>
      <w:r w:rsidRPr="00162735">
        <w:rPr>
          <w:rFonts w:cs="Sultan normal"/>
          <w:sz w:val="28"/>
          <w:szCs w:val="28"/>
          <w:rtl/>
        </w:rPr>
        <w:t>نموذج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Pr="00162735">
        <w:rPr>
          <w:rFonts w:cs="Sultan normal" w:hint="cs"/>
          <w:sz w:val="28"/>
          <w:szCs w:val="28"/>
          <w:rtl/>
        </w:rPr>
        <w:t>للمساق</w:t>
      </w:r>
      <w:r w:rsidRPr="00162735">
        <w:rPr>
          <w:rFonts w:cs="Sultan normal"/>
          <w:sz w:val="28"/>
          <w:szCs w:val="28"/>
        </w:rPr>
        <w:t>)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A46B4E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A46B4E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 w:rsidR="00A46B4E">
              <w:rPr>
                <w:rFonts w:ascii="Berlin Sans FB" w:hAnsi="Berlin Sans FB"/>
                <w:sz w:val="20"/>
                <w:szCs w:val="20"/>
              </w:rPr>
              <w:t>,second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253FBC" w:rsidRPr="00253FBC">
        <w:rPr>
          <w:rFonts w:hint="cs"/>
          <w:b w:val="0"/>
          <w:bCs w:val="0"/>
          <w:rtl/>
        </w:rPr>
        <w:t xml:space="preserve"> </w:t>
      </w:r>
      <w:r w:rsidR="00253FBC">
        <w:rPr>
          <w:rFonts w:hint="cs"/>
          <w:b w:val="0"/>
          <w:bCs w:val="0"/>
          <w:rtl/>
        </w:rPr>
        <w:t>تتناول الدراسة السعي الى تقديم مقاربة معرفية للفكر السياسي الغربي المعاصر عبر التعريف بابرز اتجاهات الفكر الغربي المعاصر  كالوجودية والماركسية ومدرسة فرانكفورات والاصلاحات داخل الاتحاد السوفيتي وسلطة المعرفة والعولمة.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253FBC" w:rsidRPr="005624B6" w:rsidRDefault="00253FBC" w:rsidP="00253FBC">
      <w:pPr>
        <w:numPr>
          <w:ilvl w:val="0"/>
          <w:numId w:val="12"/>
        </w:numPr>
        <w:autoSpaceDE w:val="0"/>
        <w:autoSpaceDN w:val="0"/>
        <w:bidi/>
        <w:adjustRightInd w:val="0"/>
        <w:spacing w:after="200" w:line="276" w:lineRule="auto"/>
        <w:ind w:left="357" w:hanging="357"/>
        <w:rPr>
          <w:b/>
          <w:bCs/>
          <w:sz w:val="18"/>
          <w:szCs w:val="18"/>
          <w:rtl/>
          <w:lang w:bidi="ar-YE"/>
        </w:rPr>
      </w:pPr>
      <w:r w:rsidRPr="005624B6">
        <w:rPr>
          <w:rFonts w:hint="cs"/>
          <w:sz w:val="18"/>
          <w:szCs w:val="18"/>
          <w:rtl/>
          <w:lang w:bidi="ar-YE"/>
        </w:rPr>
        <w:t xml:space="preserve">اعدادجيل </w:t>
      </w:r>
      <w:r>
        <w:rPr>
          <w:rFonts w:hint="cs"/>
          <w:sz w:val="18"/>
          <w:szCs w:val="18"/>
          <w:rtl/>
          <w:lang w:bidi="ar-YE"/>
        </w:rPr>
        <w:t>مدرك للتطورات المعاصرة في الفكر الغربي المعاصر</w:t>
      </w:r>
    </w:p>
    <w:p w:rsidR="00253FBC" w:rsidRPr="005624B6" w:rsidRDefault="00253FBC" w:rsidP="00253FBC">
      <w:pPr>
        <w:numPr>
          <w:ilvl w:val="0"/>
          <w:numId w:val="12"/>
        </w:numPr>
        <w:autoSpaceDE w:val="0"/>
        <w:autoSpaceDN w:val="0"/>
        <w:bidi/>
        <w:adjustRightInd w:val="0"/>
        <w:spacing w:after="200" w:line="276" w:lineRule="auto"/>
        <w:ind w:left="357" w:hanging="357"/>
        <w:rPr>
          <w:b/>
          <w:bCs/>
          <w:lang w:bidi="ar-YE"/>
        </w:rPr>
      </w:pPr>
      <w:r>
        <w:rPr>
          <w:rFonts w:hint="cs"/>
          <w:rtl/>
          <w:lang w:bidi="ar-YE"/>
        </w:rPr>
        <w:t>اعداد جيل قادر على ادارة مؤو</w:t>
      </w:r>
      <w:r w:rsidRPr="005624B6">
        <w:rPr>
          <w:rFonts w:hint="cs"/>
          <w:rtl/>
          <w:lang w:bidi="ar-YE"/>
        </w:rPr>
        <w:t>سسات الدولة السياسية وبالعودةالى طروحات فكرية تعد الاساس لعملية البناءالسياسي.</w:t>
      </w:r>
    </w:p>
    <w:p w:rsidR="00253FBC" w:rsidRPr="005624B6" w:rsidRDefault="00253FBC" w:rsidP="00253FBC">
      <w:pPr>
        <w:numPr>
          <w:ilvl w:val="0"/>
          <w:numId w:val="12"/>
        </w:numPr>
        <w:autoSpaceDE w:val="0"/>
        <w:autoSpaceDN w:val="0"/>
        <w:bidi/>
        <w:adjustRightInd w:val="0"/>
        <w:spacing w:after="200" w:line="276" w:lineRule="auto"/>
        <w:ind w:left="357" w:hanging="357"/>
        <w:rPr>
          <w:b/>
          <w:bCs/>
          <w:lang w:bidi="ar-YE"/>
        </w:rPr>
      </w:pPr>
      <w:r w:rsidRPr="005624B6">
        <w:rPr>
          <w:rFonts w:hint="cs"/>
          <w:rtl/>
          <w:lang w:bidi="ar-YE"/>
        </w:rPr>
        <w:t>تشكل تلك الطروحات الفكرية القاعدة الاساسية التي بنيت عليها التجارب السياسية المعاصرةوالتي تهدف الى سعادة الفرد.</w:t>
      </w:r>
    </w:p>
    <w:p w:rsidR="000931E4" w:rsidRPr="00253FBC" w:rsidRDefault="000931E4" w:rsidP="000931E4">
      <w:pPr>
        <w:bidi/>
        <w:ind w:left="2160"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9F2073" w:rsidRDefault="00C6344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A46B4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تعريف الفكرالسياسي </w:t>
            </w:r>
          </w:p>
        </w:tc>
        <w:tc>
          <w:tcPr>
            <w:tcW w:w="4536" w:type="dxa"/>
          </w:tcPr>
          <w:p w:rsidR="00C63442" w:rsidRPr="000931E4" w:rsidRDefault="00A46B4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انواع الفكرالسياسي وخصائصه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9F2073" w:rsidRDefault="00D43A74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A46B4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مفهوم الليبرالية وخصائصها</w:t>
            </w:r>
          </w:p>
        </w:tc>
        <w:tc>
          <w:tcPr>
            <w:tcW w:w="4536" w:type="dxa"/>
          </w:tcPr>
          <w:p w:rsidR="00D43A74" w:rsidRPr="009A3DBD" w:rsidRDefault="00A46B4E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مفهوم النيوليبرالية وخصائصها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9F2073" w:rsidRDefault="00D43A74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AA7B00" w:rsidP="009F2073">
            <w:pPr>
              <w:bidi/>
              <w:spacing w:line="220" w:lineRule="exact"/>
              <w:jc w:val="center"/>
              <w:rPr>
                <w:rFonts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 النيوليبرالي (هربرت هوفر)</w:t>
            </w:r>
          </w:p>
        </w:tc>
        <w:tc>
          <w:tcPr>
            <w:tcW w:w="4536" w:type="dxa"/>
          </w:tcPr>
          <w:p w:rsidR="00AA7B00" w:rsidRPr="009A3DBD" w:rsidRDefault="00AA7B00" w:rsidP="00AA7B00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 النيوليبرالي (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فون هايك)</w:t>
            </w:r>
          </w:p>
        </w:tc>
      </w:tr>
      <w:tr w:rsidR="009F2073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9F2073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9F2073" w:rsidRDefault="009F2073" w:rsidP="00B527C1">
            <w:pPr>
              <w:bidi/>
              <w:spacing w:line="220" w:lineRule="exact"/>
              <w:jc w:val="center"/>
              <w:rPr>
                <w:rFonts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ملتون فريدمان</w:t>
            </w:r>
          </w:p>
        </w:tc>
        <w:tc>
          <w:tcPr>
            <w:tcW w:w="4536" w:type="dxa"/>
          </w:tcPr>
          <w:p w:rsidR="009F2073" w:rsidRDefault="009F2073" w:rsidP="00AA7B00">
            <w:pPr>
              <w:bidi/>
              <w:spacing w:line="220" w:lineRule="exact"/>
              <w:jc w:val="center"/>
              <w:rPr>
                <w:rFonts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وودرو ولسون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9F2073" w:rsidRDefault="00B36A19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خامس</w:t>
            </w:r>
          </w:p>
        </w:tc>
        <w:tc>
          <w:tcPr>
            <w:tcW w:w="4536" w:type="dxa"/>
          </w:tcPr>
          <w:p w:rsidR="00B36A19" w:rsidRPr="009A3DBD" w:rsidRDefault="00C83766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 النيوليبرالي المتشدد (براتراند ديي جوفنل)</w:t>
            </w:r>
          </w:p>
        </w:tc>
        <w:tc>
          <w:tcPr>
            <w:tcW w:w="4536" w:type="dxa"/>
          </w:tcPr>
          <w:p w:rsidR="00B36A19" w:rsidRPr="009A3DBD" w:rsidRDefault="00C83766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 النيوليبرالي المحافظ(والترليبمان )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9F2073" w:rsidRDefault="00726B99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سادس</w:t>
            </w:r>
          </w:p>
        </w:tc>
        <w:tc>
          <w:tcPr>
            <w:tcW w:w="4536" w:type="dxa"/>
          </w:tcPr>
          <w:p w:rsidR="00726B99" w:rsidRPr="009A3DBD" w:rsidRDefault="00C8376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 النيوليبرالي (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لسترفرانك وارد)</w:t>
            </w:r>
          </w:p>
        </w:tc>
        <w:tc>
          <w:tcPr>
            <w:tcW w:w="4536" w:type="dxa"/>
          </w:tcPr>
          <w:p w:rsidR="00726B99" w:rsidRPr="009A3DBD" w:rsidRDefault="00C8376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الاتجاه السياسي اللليبرالي البراغماتي (وليم جيمس)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9F2073" w:rsidRDefault="00E92F30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بع</w:t>
            </w:r>
          </w:p>
        </w:tc>
        <w:tc>
          <w:tcPr>
            <w:tcW w:w="4536" w:type="dxa"/>
          </w:tcPr>
          <w:p w:rsidR="00E92F30" w:rsidRPr="009A3DBD" w:rsidRDefault="00C8376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الاتجاه السياسي اللليبرالي البراغماتي(جون ديوي)</w:t>
            </w:r>
          </w:p>
        </w:tc>
        <w:tc>
          <w:tcPr>
            <w:tcW w:w="4536" w:type="dxa"/>
          </w:tcPr>
          <w:p w:rsidR="00E92F30" w:rsidRPr="009A3DBD" w:rsidRDefault="001376E4" w:rsidP="001376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الاتجاه السياسي اللليبرالي الراديكالي(سلستين بوكاليه)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9F2073" w:rsidRDefault="004D295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ثامن</w:t>
            </w:r>
          </w:p>
        </w:tc>
        <w:tc>
          <w:tcPr>
            <w:tcW w:w="4536" w:type="dxa"/>
          </w:tcPr>
          <w:p w:rsidR="004D2957" w:rsidRPr="009A3DBD" w:rsidRDefault="001376E4" w:rsidP="001376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الاتجاه السياسي اللليبرالي الراديكالي(ايميل شارتييه)</w:t>
            </w:r>
          </w:p>
        </w:tc>
        <w:tc>
          <w:tcPr>
            <w:tcW w:w="4536" w:type="dxa"/>
          </w:tcPr>
          <w:p w:rsidR="004D2957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الاتجاه السياسي اللليبرالي الوجودي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9F2073" w:rsidRDefault="003C54DD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تاسع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الفكرالسياسي لجان بول سارتر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الاتجاه السياسي اللليبرالي ا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لنخبوي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9F2073" w:rsidRDefault="003C54DD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عاشر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النخبويةالتقليدية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النخبويةالحديثةالتكنوقراط</w:t>
            </w:r>
          </w:p>
        </w:tc>
      </w:tr>
      <w:tr w:rsidR="00726FB2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FB2" w:rsidRPr="009F2073" w:rsidRDefault="00726FB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حادي عشر</w:t>
            </w:r>
          </w:p>
        </w:tc>
        <w:tc>
          <w:tcPr>
            <w:tcW w:w="4536" w:type="dxa"/>
          </w:tcPr>
          <w:p w:rsidR="00726FB2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الاتجاه الليبرالي التقدمي</w:t>
            </w:r>
          </w:p>
        </w:tc>
        <w:tc>
          <w:tcPr>
            <w:tcW w:w="4536" w:type="dxa"/>
          </w:tcPr>
          <w:p w:rsidR="00726FB2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براتراند راسل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9F2073" w:rsidRDefault="003C54DD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ثاني عشر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امتحان يومي ومناقشة اوراق عمل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مناقشة اوراق عمل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  <w:r w:rsidR="00484155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84155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الماركسيةالسوفيتيةالجديدة</w:t>
            </w:r>
          </w:p>
        </w:tc>
        <w:tc>
          <w:tcPr>
            <w:tcW w:w="4536" w:type="dxa"/>
          </w:tcPr>
          <w:p w:rsidR="00484155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مفهوم الماركسية</w:t>
            </w:r>
          </w:p>
          <w:p w:rsidR="004D74E4" w:rsidRPr="009A3DBD" w:rsidRDefault="004D74E4" w:rsidP="004D74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4D74E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74E4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  <w:r w:rsidR="004D74E4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D74E4" w:rsidRDefault="00726FB2" w:rsidP="004D74E4">
            <w:pPr>
              <w:bidi/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الماركسية اللينينية حياة لينيين ونشاطه السياسي</w:t>
            </w:r>
          </w:p>
        </w:tc>
        <w:tc>
          <w:tcPr>
            <w:tcW w:w="4536" w:type="dxa"/>
          </w:tcPr>
          <w:p w:rsidR="004D74E4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الفكرالسياسي عند لينين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  <w:r w:rsidR="00484155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84155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الفكرالسياسي عند لينين</w:t>
            </w:r>
          </w:p>
        </w:tc>
        <w:tc>
          <w:tcPr>
            <w:tcW w:w="4536" w:type="dxa"/>
          </w:tcPr>
          <w:p w:rsidR="00484155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نظرية الاشتراكية في بلد واحد لستالين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  <w:r w:rsidR="00DA1902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DA1902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نظرية البيروسترويكا</w:t>
            </w:r>
          </w:p>
        </w:tc>
        <w:tc>
          <w:tcPr>
            <w:tcW w:w="4536" w:type="dxa"/>
          </w:tcPr>
          <w:p w:rsidR="00DA1902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نظريةالثورة الدائمة عند تروتسكي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  <w:r w:rsidR="00637E16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عشر</w:t>
            </w:r>
          </w:p>
        </w:tc>
        <w:tc>
          <w:tcPr>
            <w:tcW w:w="4536" w:type="dxa"/>
          </w:tcPr>
          <w:p w:rsidR="00637E16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التروتسكية الجديدة</w:t>
            </w:r>
          </w:p>
        </w:tc>
        <w:tc>
          <w:tcPr>
            <w:tcW w:w="4536" w:type="dxa"/>
          </w:tcPr>
          <w:p w:rsidR="00637E16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التروتسكية الجديدة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  <w:r w:rsidR="00F6083A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F6083A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امتحان فصلي</w:t>
            </w:r>
          </w:p>
        </w:tc>
        <w:tc>
          <w:tcPr>
            <w:tcW w:w="4536" w:type="dxa"/>
          </w:tcPr>
          <w:p w:rsidR="00F6083A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نقد الماركسية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التاسع </w:t>
            </w:r>
            <w:r w:rsidR="00E71074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E71074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روزا لكسمبورغ</w:t>
            </w:r>
          </w:p>
        </w:tc>
        <w:tc>
          <w:tcPr>
            <w:tcW w:w="4536" w:type="dxa"/>
          </w:tcPr>
          <w:p w:rsidR="00E71074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كارل كاوتكسي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A81CC0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عشر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ون</w:t>
            </w:r>
          </w:p>
        </w:tc>
        <w:tc>
          <w:tcPr>
            <w:tcW w:w="4536" w:type="dxa"/>
          </w:tcPr>
          <w:p w:rsidR="00A81CC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الفكرالسياسي عند غرامشي</w:t>
            </w:r>
          </w:p>
        </w:tc>
        <w:tc>
          <w:tcPr>
            <w:tcW w:w="4536" w:type="dxa"/>
          </w:tcPr>
          <w:p w:rsidR="00A81CC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الفكرالسياسي عند غرامشي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</w:t>
            </w:r>
            <w:r w:rsidR="000E05F0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عشر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ون</w:t>
            </w:r>
          </w:p>
        </w:tc>
        <w:tc>
          <w:tcPr>
            <w:tcW w:w="4536" w:type="dxa"/>
          </w:tcPr>
          <w:p w:rsidR="000E05F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الاوروشيوعية</w:t>
            </w:r>
          </w:p>
        </w:tc>
        <w:tc>
          <w:tcPr>
            <w:tcW w:w="4536" w:type="dxa"/>
          </w:tcPr>
          <w:p w:rsidR="000E05F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الاوروشيوعية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9F2073" w:rsidRDefault="0028489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E66577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ثاني والعشرون</w:t>
            </w:r>
          </w:p>
        </w:tc>
        <w:tc>
          <w:tcPr>
            <w:tcW w:w="4536" w:type="dxa"/>
          </w:tcPr>
          <w:p w:rsidR="0028489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لويس التوسير</w:t>
            </w:r>
          </w:p>
        </w:tc>
        <w:tc>
          <w:tcPr>
            <w:tcW w:w="4536" w:type="dxa"/>
          </w:tcPr>
          <w:p w:rsidR="0028489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اليسارويةالمعاصرة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</w:t>
            </w:r>
            <w:r w:rsidR="00563688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9F20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اليساروية المعاصرة</w:t>
            </w:r>
          </w:p>
        </w:tc>
        <w:tc>
          <w:tcPr>
            <w:tcW w:w="4536" w:type="dxa"/>
          </w:tcPr>
          <w:p w:rsidR="00563688" w:rsidRPr="00B527C1" w:rsidRDefault="009F20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مراجعة للفكرالماركسي الجديد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الرابع </w:t>
            </w:r>
            <w:r w:rsidR="00604EB4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</w:p>
        </w:tc>
        <w:tc>
          <w:tcPr>
            <w:tcW w:w="4536" w:type="dxa"/>
          </w:tcPr>
          <w:p w:rsidR="00604EB4" w:rsidRPr="00B527C1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امتحان يومي مع مناقشة اوراق عمل</w:t>
            </w:r>
          </w:p>
        </w:tc>
        <w:tc>
          <w:tcPr>
            <w:tcW w:w="4536" w:type="dxa"/>
          </w:tcPr>
          <w:p w:rsidR="00604EB4" w:rsidRPr="00B527C1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مناقشة اوراق عمل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الخامس </w:t>
            </w:r>
            <w:r w:rsidR="006D12B2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والعشرون</w:t>
            </w:r>
          </w:p>
        </w:tc>
        <w:tc>
          <w:tcPr>
            <w:tcW w:w="4536" w:type="dxa"/>
          </w:tcPr>
          <w:p w:rsidR="006D12B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lastRenderedPageBreak/>
              <w:t>مدرسة فرانكفوت المفهوم</w:t>
            </w:r>
          </w:p>
        </w:tc>
        <w:tc>
          <w:tcPr>
            <w:tcW w:w="4536" w:type="dxa"/>
          </w:tcPr>
          <w:p w:rsidR="006D12B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مدرسة فرانكفورت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النشاةالتاريخية واهم مفكريها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9F2073" w:rsidRDefault="002B473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مدرسة فراكفورت</w:t>
            </w:r>
            <w:r w:rsidR="00726FB2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الطروحات الفكرية</w:t>
            </w:r>
          </w:p>
        </w:tc>
        <w:tc>
          <w:tcPr>
            <w:tcW w:w="4536" w:type="dxa"/>
          </w:tcPr>
          <w:p w:rsidR="002B4732" w:rsidRPr="00B527C1" w:rsidRDefault="004D74E4" w:rsidP="004D74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الفكرالسياسي لهربرت ماركوز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9F2073" w:rsidRDefault="00123D3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البعد النظري للعولمة</w:t>
            </w:r>
          </w:p>
        </w:tc>
        <w:tc>
          <w:tcPr>
            <w:tcW w:w="4536" w:type="dxa"/>
          </w:tcPr>
          <w:p w:rsidR="00123D37" w:rsidRPr="00B527C1" w:rsidRDefault="004D74E4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البعد العملي للعولمة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9F2073" w:rsidRDefault="00123D3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أطروحة نهايةالايديولوجيا</w:t>
            </w:r>
          </w:p>
        </w:tc>
        <w:tc>
          <w:tcPr>
            <w:tcW w:w="4536" w:type="dxa"/>
          </w:tcPr>
          <w:p w:rsidR="00123D37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أطروحة صدام الحضارات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9F2073" w:rsidRDefault="00AD15E6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أطروحة سلطة المعرفة</w:t>
            </w:r>
          </w:p>
        </w:tc>
        <w:tc>
          <w:tcPr>
            <w:tcW w:w="4536" w:type="dxa"/>
          </w:tcPr>
          <w:p w:rsidR="00AD15E6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أطروحة نهايةالتاريخ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9F2073" w:rsidRDefault="00AD15E6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مراجعة شاملة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253FBC" w:rsidRPr="00253FBC">
        <w:rPr>
          <w:rFonts w:hint="cs"/>
          <w:rtl/>
          <w:lang w:bidi="ar-IQ"/>
        </w:rPr>
        <w:t xml:space="preserve"> </w:t>
      </w:r>
      <w:r w:rsidR="00253FBC">
        <w:rPr>
          <w:rFonts w:hint="cs"/>
          <w:rtl/>
          <w:lang w:bidi="ar-IQ"/>
        </w:rPr>
        <w:t>عبد الرضا الطعان واخرون (الفكر السياسي الغربي المعاصر)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253FBC" w:rsidRDefault="00F82582" w:rsidP="00253FBC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Pr="009A3DBD">
        <w:rPr>
          <w:sz w:val="22"/>
          <w:szCs w:val="22"/>
        </w:rPr>
        <w:t>:</w:t>
      </w:r>
      <w:r w:rsidR="00253FBC" w:rsidRPr="00253FBC">
        <w:rPr>
          <w:rFonts w:hint="cs"/>
          <w:rtl/>
        </w:rPr>
        <w:t xml:space="preserve"> </w:t>
      </w:r>
      <w:r w:rsidR="00253FBC">
        <w:rPr>
          <w:rFonts w:hint="cs"/>
          <w:rtl/>
        </w:rPr>
        <w:t>صدام الحضارات لصموئيل هنتنغتون.</w:t>
      </w:r>
    </w:p>
    <w:p w:rsidR="00253FBC" w:rsidRDefault="00253FBC" w:rsidP="00253FBC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  <w:rPr>
          <w:rtl/>
        </w:rPr>
      </w:pPr>
      <w:r>
        <w:rPr>
          <w:rFonts w:hint="cs"/>
          <w:rtl/>
        </w:rPr>
        <w:t>ستيفن ديلو وتيموثي ديل,التفكيرالسياسي والمجتمع المدني</w:t>
      </w:r>
    </w:p>
    <w:p w:rsidR="00A46B4E" w:rsidRDefault="00253FBC" w:rsidP="00A46B4E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</w:pPr>
      <w:r>
        <w:rPr>
          <w:rFonts w:hint="cs"/>
          <w:rtl/>
        </w:rPr>
        <w:t>نهاية التاريخ لفرانسيس فوكوياما</w:t>
      </w:r>
    </w:p>
    <w:p w:rsidR="006E37F2" w:rsidRPr="00A46B4E" w:rsidRDefault="00253FBC" w:rsidP="00A46B4E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  <w:rPr>
          <w:rtl/>
        </w:rPr>
      </w:pPr>
      <w:r>
        <w:rPr>
          <w:rFonts w:hint="cs"/>
          <w:rtl/>
        </w:rPr>
        <w:t xml:space="preserve">سلطة المعرفة </w:t>
      </w:r>
      <w:r w:rsidR="00A46B4E">
        <w:rPr>
          <w:rFonts w:hint="cs"/>
          <w:rtl/>
        </w:rPr>
        <w:t>لألفن</w:t>
      </w:r>
      <w:r>
        <w:rPr>
          <w:rFonts w:hint="cs"/>
          <w:rtl/>
        </w:rPr>
        <w:t xml:space="preserve"> توفلر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253FBC">
        <w:rPr>
          <w:rStyle w:val="a6"/>
          <w:rFonts w:ascii="AlRaiMedia-Black" w:hAnsi="AlRaiMedia-Black" w:cs="AlRaiMedia-Black" w:hint="cs"/>
          <w:b w:val="0"/>
          <w:bCs w:val="0"/>
          <w:rtl/>
        </w:rPr>
        <w:t>20%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253FBC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bookmarkStart w:id="0" w:name="_GoBack"/>
      <w:bookmarkEnd w:id="0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253FBC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  <w:r w:rsidR="00253FBC">
        <w:rPr>
          <w:rFonts w:ascii="Berlin Sans FB" w:hAnsi="Berlin Sans FB" w:hint="cs"/>
          <w:b/>
          <w:bCs/>
          <w:sz w:val="20"/>
          <w:szCs w:val="20"/>
          <w:rtl/>
        </w:rPr>
        <w:t xml:space="preserve"> الخضوع للضوابط </w:t>
      </w:r>
      <w:r w:rsidR="00A46B4E">
        <w:rPr>
          <w:rFonts w:ascii="Berlin Sans FB" w:hAnsi="Berlin Sans FB" w:hint="cs"/>
          <w:b/>
          <w:bCs/>
          <w:sz w:val="20"/>
          <w:szCs w:val="20"/>
          <w:rtl/>
        </w:rPr>
        <w:t>والتعليمات</w:t>
      </w:r>
      <w:r w:rsidR="00253FBC">
        <w:rPr>
          <w:rFonts w:ascii="Berlin Sans FB" w:hAnsi="Berlin Sans FB" w:hint="cs"/>
          <w:b/>
          <w:bCs/>
          <w:sz w:val="20"/>
          <w:szCs w:val="20"/>
          <w:rtl/>
        </w:rPr>
        <w:t xml:space="preserve"> الجامعية.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721"/>
        <w:gridCol w:w="2900"/>
        <w:gridCol w:w="1060"/>
      </w:tblGrid>
      <w:tr w:rsidR="00A21BF0" w:rsidRPr="00B527C1" w:rsidTr="0057408B">
        <w:trPr>
          <w:jc w:val="center"/>
        </w:trPr>
        <w:tc>
          <w:tcPr>
            <w:tcW w:w="2375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)Assignments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721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00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060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57408B">
        <w:trPr>
          <w:jc w:val="center"/>
        </w:trPr>
        <w:tc>
          <w:tcPr>
            <w:tcW w:w="2375" w:type="dxa"/>
          </w:tcPr>
          <w:p w:rsidR="00A21BF0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مناقشات </w:t>
            </w:r>
            <w:r w:rsidR="00C83766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وامتحان يومي</w:t>
            </w:r>
          </w:p>
        </w:tc>
        <w:tc>
          <w:tcPr>
            <w:tcW w:w="2721" w:type="dxa"/>
          </w:tcPr>
          <w:p w:rsidR="00A21BF0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تتحدد بالمفردات الاسبوعية</w:t>
            </w:r>
          </w:p>
        </w:tc>
        <w:tc>
          <w:tcPr>
            <w:tcW w:w="2900" w:type="dxa"/>
          </w:tcPr>
          <w:p w:rsidR="00A21BF0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اسبوعيا</w:t>
            </w:r>
          </w:p>
        </w:tc>
        <w:tc>
          <w:tcPr>
            <w:tcW w:w="1060" w:type="dxa"/>
          </w:tcPr>
          <w:p w:rsidR="00A21BF0" w:rsidRPr="00B527C1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6E37F2" w:rsidRPr="00B527C1" w:rsidTr="0057408B">
        <w:trPr>
          <w:jc w:val="center"/>
        </w:trPr>
        <w:tc>
          <w:tcPr>
            <w:tcW w:w="2375" w:type="dxa"/>
          </w:tcPr>
          <w:p w:rsidR="006E37F2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اوراق عمل وملخص كتاب</w:t>
            </w:r>
          </w:p>
        </w:tc>
        <w:tc>
          <w:tcPr>
            <w:tcW w:w="2721" w:type="dxa"/>
          </w:tcPr>
          <w:p w:rsidR="006E37F2" w:rsidRPr="00B527C1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تتضمن تكليف الطالب بملخص كتاب باحد كتب الفكرالسياسي المعاصر</w:t>
            </w:r>
          </w:p>
        </w:tc>
        <w:tc>
          <w:tcPr>
            <w:tcW w:w="2900" w:type="dxa"/>
          </w:tcPr>
          <w:p w:rsidR="006E37F2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نهايةالفصل الدراسي</w:t>
            </w:r>
          </w:p>
        </w:tc>
        <w:tc>
          <w:tcPr>
            <w:tcW w:w="1060" w:type="dxa"/>
          </w:tcPr>
          <w:p w:rsidR="0057408B" w:rsidRPr="00B527C1" w:rsidRDefault="0057408B" w:rsidP="0057408B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5%</w:t>
            </w:r>
          </w:p>
        </w:tc>
      </w:tr>
      <w:tr w:rsidR="0057408B" w:rsidRPr="00B527C1" w:rsidTr="0057408B">
        <w:trPr>
          <w:jc w:val="center"/>
        </w:trPr>
        <w:tc>
          <w:tcPr>
            <w:tcW w:w="2375" w:type="dxa"/>
          </w:tcPr>
          <w:p w:rsidR="0057408B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امتحان فصلي</w:t>
            </w:r>
          </w:p>
        </w:tc>
        <w:tc>
          <w:tcPr>
            <w:tcW w:w="2721" w:type="dxa"/>
          </w:tcPr>
          <w:p w:rsidR="0057408B" w:rsidRPr="00B527C1" w:rsidRDefault="00A46B4E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يتحدد ب15 محاضرة</w:t>
            </w:r>
          </w:p>
        </w:tc>
        <w:tc>
          <w:tcPr>
            <w:tcW w:w="2900" w:type="dxa"/>
          </w:tcPr>
          <w:p w:rsidR="0057408B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نهايةالفصل الدراسي</w:t>
            </w:r>
          </w:p>
        </w:tc>
        <w:tc>
          <w:tcPr>
            <w:tcW w:w="1060" w:type="dxa"/>
          </w:tcPr>
          <w:p w:rsidR="0057408B" w:rsidRPr="00B527C1" w:rsidRDefault="0057408B" w:rsidP="0057408B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10%</w:t>
            </w:r>
          </w:p>
        </w:tc>
      </w:tr>
    </w:tbl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A46B4E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A46B4E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ا,ب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 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A46B4E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3ساعة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A21BF0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A46B4E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 w:rsidR="00A46B4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ا.م. دفاتن محمد رزاق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:الايم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A46B4E">
        <w:rPr>
          <w:rStyle w:val="a6"/>
          <w:rFonts w:ascii="AlRaiMedia-Black" w:hAnsi="AlRaiMedia-Black" w:cs="AlRaiMedia-Black"/>
          <w:b w:val="0"/>
          <w:bCs w:val="0"/>
        </w:rPr>
        <w:t xml:space="preserve"> drfatan4@gmail.com.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C4" w:rsidRDefault="005458C4" w:rsidP="008776D4">
      <w:r>
        <w:separator/>
      </w:r>
    </w:p>
  </w:endnote>
  <w:endnote w:type="continuationSeparator" w:id="1">
    <w:p w:rsidR="005458C4" w:rsidRDefault="005458C4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E589E9CB-C8D0-4634-A97C-D9EC953C017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55BC292C-ED6D-46BA-BF0A-653729F0EF3E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919040FF-9601-45F5-AED0-D18237557896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CE88269F-05BD-414A-A4D5-1607CBA10F9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C4" w:rsidRDefault="005458C4" w:rsidP="008776D4">
      <w:r>
        <w:separator/>
      </w:r>
    </w:p>
  </w:footnote>
  <w:footnote w:type="continuationSeparator" w:id="1">
    <w:p w:rsidR="005458C4" w:rsidRDefault="005458C4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A591E74"/>
    <w:multiLevelType w:val="hybridMultilevel"/>
    <w:tmpl w:val="128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D4"/>
    <w:rsid w:val="00015AE1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376E4"/>
    <w:rsid w:val="00162735"/>
    <w:rsid w:val="00165BA0"/>
    <w:rsid w:val="001A1947"/>
    <w:rsid w:val="001D21BA"/>
    <w:rsid w:val="001E45B0"/>
    <w:rsid w:val="001F4A20"/>
    <w:rsid w:val="0023056B"/>
    <w:rsid w:val="00242B3E"/>
    <w:rsid w:val="00253FBC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4D74E4"/>
    <w:rsid w:val="005458C4"/>
    <w:rsid w:val="00554C64"/>
    <w:rsid w:val="00563688"/>
    <w:rsid w:val="0056569A"/>
    <w:rsid w:val="0057408B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26FB2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C2B40"/>
    <w:rsid w:val="009F1EC9"/>
    <w:rsid w:val="009F2073"/>
    <w:rsid w:val="00A02746"/>
    <w:rsid w:val="00A030BA"/>
    <w:rsid w:val="00A03ABC"/>
    <w:rsid w:val="00A05A71"/>
    <w:rsid w:val="00A11F5E"/>
    <w:rsid w:val="00A21BF0"/>
    <w:rsid w:val="00A2780F"/>
    <w:rsid w:val="00A424C6"/>
    <w:rsid w:val="00A46B4E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A7B00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3766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66577"/>
    <w:rsid w:val="00E71074"/>
    <w:rsid w:val="00E72171"/>
    <w:rsid w:val="00E92F30"/>
    <w:rsid w:val="00EA7725"/>
    <w:rsid w:val="00EB51E3"/>
    <w:rsid w:val="00EB63A7"/>
    <w:rsid w:val="00EE2192"/>
    <w:rsid w:val="00EF650F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netiraq</cp:lastModifiedBy>
  <cp:revision>10</cp:revision>
  <cp:lastPrinted>2018-04-05T07:02:00Z</cp:lastPrinted>
  <dcterms:created xsi:type="dcterms:W3CDTF">2017-03-27T08:57:00Z</dcterms:created>
  <dcterms:modified xsi:type="dcterms:W3CDTF">2018-06-10T20:09:00Z</dcterms:modified>
</cp:coreProperties>
</file>