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29" w:rsidRPr="00264629" w:rsidRDefault="00264629" w:rsidP="00F92A66">
      <w:pPr>
        <w:rPr>
          <w:rFonts w:hint="cs"/>
          <w:lang w:bidi="ar-IQ"/>
        </w:rPr>
      </w:pPr>
      <w:r w:rsidRPr="00264629">
        <w:rPr>
          <w:rtl/>
        </w:rPr>
        <w:t xml:space="preserve">الفصل 15 التقارير المالية التقرير المالي السنوي الشامل والأهداف التعليمية للتقارير المالية الكيان دراسة هذا الفصل، يجب أن تكون قادرا على </w:t>
      </w:r>
      <w:r w:rsidR="00FE3617">
        <w:rPr>
          <w:rtl/>
        </w:rPr>
        <w:t>–</w:t>
      </w:r>
      <w:r w:rsidR="00FE3617">
        <w:rPr>
          <w:rFonts w:hint="cs"/>
          <w:rtl/>
        </w:rPr>
        <w:t xml:space="preserve">شرح </w:t>
      </w:r>
      <w:r w:rsidRPr="00264629">
        <w:rPr>
          <w:rtl/>
        </w:rPr>
        <w:t xml:space="preserve">طبيعة ومحتويات الثلاثة الكبرى فهم أي من الوحدات المكون يجب أن يتم مزجه </w:t>
      </w:r>
      <w:r w:rsidR="00FE3617">
        <w:rPr>
          <w:rFonts w:hint="cs"/>
          <w:rtl/>
        </w:rPr>
        <w:t xml:space="preserve">فعالية </w:t>
      </w:r>
      <w:r w:rsidRPr="00264629">
        <w:rPr>
          <w:rtl/>
        </w:rPr>
        <w:t xml:space="preserve"> من تقرير مالي سنوي شامل فهم العلاقات بين الجمع فهم الاختلافات بين المزج و التي يجب عرضها بشكل غير واضح. متطلبات منفصلة للمنظمات والبيانات معا و المالية الأساسية تحديد البيانات الجمع بين أن الحكومة اشرح </w:t>
      </w:r>
      <w:r w:rsidR="00FE3617">
        <w:rPr>
          <w:rFonts w:hint="cs"/>
          <w:rtl/>
        </w:rPr>
        <w:t xml:space="preserve">الاختلافات </w:t>
      </w:r>
      <w:r w:rsidRPr="00264629">
        <w:rPr>
          <w:rtl/>
        </w:rPr>
        <w:t xml:space="preserve">بين وبين احتياجات أن يقدم في التقرير السنوي المالي </w:t>
      </w:r>
      <w:r w:rsidR="00FE3617">
        <w:rPr>
          <w:rFonts w:hint="cs"/>
          <w:rtl/>
        </w:rPr>
        <w:t xml:space="preserve">شرح </w:t>
      </w:r>
      <w:r w:rsidRPr="00264629">
        <w:rPr>
          <w:rtl/>
        </w:rPr>
        <w:t xml:space="preserve"> الشامل في كيفية تحديد ما إذا كان يتعين على الحكومة أن ومشاريع كيان مرتبط كوحدة مكون. ق مناقشتها في الفصل 13، والقوائم المالية الأساسية و</w:t>
      </w:r>
      <w:r w:rsidRPr="00264629">
        <w:t xml:space="preserve">notes- </w:t>
      </w:r>
      <w:r w:rsidRPr="00264629">
        <w:rPr>
          <w:rtl/>
        </w:rPr>
        <w:t>يرافقه مناقشة والإدارة تحليل (</w:t>
      </w:r>
      <w:r w:rsidRPr="00264629">
        <w:t>MD</w:t>
      </w:r>
      <w:r w:rsidRPr="00264629">
        <w:rPr>
          <w:rtl/>
        </w:rPr>
        <w:t xml:space="preserve"> &amp; </w:t>
      </w:r>
      <w:r w:rsidRPr="00264629">
        <w:t xml:space="preserve">A) </w:t>
      </w:r>
      <w:r w:rsidRPr="00264629">
        <w:rPr>
          <w:rtl/>
        </w:rPr>
        <w:t xml:space="preserve">د الآخر مطلوب معلومات تكميلية-تلبية متطلبات للأغراض العامة التقارير المالية الخارجية ومع ذلك، توصي </w:t>
      </w:r>
      <w:r w:rsidRPr="00264629">
        <w:t>GASB</w:t>
      </w:r>
      <w:r w:rsidRPr="00264629">
        <w:rPr>
          <w:rtl/>
        </w:rPr>
        <w:t xml:space="preserve"> أيضا أن هذه المعلومات تكون المقدمة في سياق التقرير المالي السنوي الشامل (</w:t>
      </w:r>
      <w:r w:rsidRPr="00264629">
        <w:t xml:space="preserve">CAFR) </w:t>
      </w:r>
      <w:r w:rsidRPr="00264629">
        <w:rPr>
          <w:rtl/>
        </w:rPr>
        <w:t xml:space="preserve">، والذي يتماشى مع بيان المبادئ المحاسبية والتقارير المالية الحكومية الذي يقضي بإعداد ونشر تقرير مالي سنوي شامل. يشرح هذا الفصل ويوضح العروض التي تشتمل على </w:t>
      </w:r>
      <w:r w:rsidRPr="00264629">
        <w:t>CAFR</w:t>
      </w:r>
      <w:r w:rsidRPr="00264629">
        <w:rPr>
          <w:rtl/>
        </w:rPr>
        <w:t xml:space="preserve"> عند مناقشة البيانات المالية الأساسية في الفصلين 13 و 14 ، فقد اعتبرنا الحكومات بنية بسيطة للإبلاغ. وعلى الرغم من الإشارة إلى الأماكن التي ينبغي فيها الإبلاغ عن الوحدات المكونة في البيانات المالية الأساسية ، فإن معظم التغطية المفترضة هي الكيان الذي يتم الإبلاغ عنه ، وهو يقتصر على كيان قانوني واحد. وركز هذا النهج الاهتمام على المحتوى الأساسي من البيانات المالية الأساسية وكيفية استخلاص وتقديم تلك المعلومات بدلا من التركيز على التعقيدات الناجمة عن وجود كيانات منفصلة أخرى </w:t>
      </w:r>
      <w:r w:rsidRPr="00264629">
        <w:t xml:space="preserve">- </w:t>
      </w:r>
      <w:r w:rsidRPr="00264629">
        <w:rPr>
          <w:rtl/>
        </w:rPr>
        <w:t xml:space="preserve">استدار كجزء من </w:t>
      </w:r>
      <w:r w:rsidR="00FE3617">
        <w:rPr>
          <w:rFonts w:hint="cs"/>
          <w:rtl/>
        </w:rPr>
        <w:t>الحكومات</w:t>
      </w:r>
      <w:r w:rsidRPr="00264629">
        <w:rPr>
          <w:rtl/>
        </w:rPr>
        <w:t xml:space="preserve"> التقارير نواصل هذا الكيان قانوني واحد في القسم الأول من هذا الفصل </w:t>
      </w:r>
    </w:p>
    <w:p w:rsidR="00264629" w:rsidRPr="00264629" w:rsidRDefault="00264629" w:rsidP="00130A95">
      <w:pPr>
        <w:rPr>
          <w:rtl/>
          <w:lang w:bidi="ar-IQ"/>
        </w:rPr>
      </w:pPr>
      <w:r w:rsidRPr="00264629">
        <w:rPr>
          <w:rtl/>
        </w:rPr>
        <w:t xml:space="preserve">اﻟﻔﺻل اﻷول </w:t>
      </w:r>
      <w:r w:rsidR="00FE3617">
        <w:rPr>
          <w:rFonts w:hint="cs"/>
          <w:rtl/>
        </w:rPr>
        <w:t xml:space="preserve"> </w:t>
      </w:r>
      <w:r w:rsidRPr="00264629">
        <w:rPr>
          <w:rtl/>
        </w:rPr>
        <w:t xml:space="preserve">ﻣن اﻟﺗﻘرﯾر اﻟﻣﺎﻟﻲ ﯾﻧﺎﻗش اﻟﻘﺳم اﻟﻧﮭﺎﺋﻲ ﻣن اﻟﻔﺻل </w:t>
      </w:r>
      <w:r w:rsidR="00F92A66">
        <w:rPr>
          <w:rFonts w:hint="cs"/>
          <w:rtl/>
        </w:rPr>
        <w:t xml:space="preserve"> </w:t>
      </w:r>
      <w:r w:rsidRPr="00264629">
        <w:rPr>
          <w:rtl/>
        </w:rPr>
        <w:t xml:space="preserve">اﻟﻘﺿﺎﯾﺎ اﻟﻔرﯾدة واﻟﻣﺷﺎرﮐﺎت اﻟﻔرﯾدة اﻟﺗﻲ ﺗﻧطوي ﻋﻟﯾﮭﺎ ﻋﻧدﻣﺎ ﯾﮐون ﻟدى ﺗﻘدﯾم ﺗﻘﺎرﯾر ﻣﺗﻌددة ﮐﯾﺎﻧﺎت ﻗﺎﻧوﻧﯾﺔ ﻣﺳﺗﻘﻟﺔ ﻣﺗﻌددة ﻓﻲ ھذا اﻟﻘﺳم ، ﻧﻧﺎﻗش ﮐﯾﻔﯾﺔ ﺗﺣدﯾد اﻟﺣﮐوﻣﺔ ﻋﻧدﻣﺎ ﯾﺟب أن ﺗﮐون اﻟﮐﯾﺎﻧﺎت اﻟﻣﻧﻔﺻﻟﺔ ﻗﺎﻧوﻧﯾﺎً تدرج في تقريرهم المالي والطريقة التي ينبغي أن تدرج بها معلومات عن تلك الكيانات. المالية السنوية الشاملة غالباً ما يشار إلى التابع للحكومة على أنه التقرير السنوي الرسمي. يحتوي </w:t>
      </w:r>
      <w:r w:rsidRPr="00264629">
        <w:t>CAFR</w:t>
      </w:r>
      <w:r w:rsidRPr="00264629">
        <w:rPr>
          <w:rtl/>
        </w:rPr>
        <w:t xml:space="preserve"> على الكثير من المعلومات بالإضافة إلى بياناته المالية الأساسية. يتضمن بيانات مالية فردية لكل صندوق من أموال الحكومة ، وليس فقط الصناديق الرئيسية ، بالإضافة إلى البيانات المجمعة ، في </w:t>
      </w:r>
      <w:r w:rsidRPr="00264629">
        <w:t>(</w:t>
      </w:r>
      <w:r w:rsidRPr="00264629">
        <w:rPr>
          <w:rtl/>
        </w:rPr>
        <w:t>أو أجزاء كبيرة منها). ) متوفرة على الإنترنت. قد ترغب في مراجعة الحكومة كما تدرس ما تبقى من هذا النقاش. يحتوي على ثلاثة أقسام متميزة:</w:t>
      </w:r>
      <w:r w:rsidR="00F92A66">
        <w:rPr>
          <w:rFonts w:hint="cs"/>
          <w:rtl/>
        </w:rPr>
        <w:t>1-</w:t>
      </w:r>
      <w:r w:rsidRPr="00264629">
        <w:rPr>
          <w:rtl/>
        </w:rPr>
        <w:t xml:space="preserve"> </w:t>
      </w:r>
      <w:r w:rsidR="00F92A66">
        <w:rPr>
          <w:rFonts w:hint="cs"/>
          <w:rtl/>
        </w:rPr>
        <w:t xml:space="preserve">اقسام المحاضرات 2-القسم المالي 3-القسم الاحصائي </w:t>
      </w:r>
      <w:r w:rsidRPr="00264629">
        <w:rPr>
          <w:rtl/>
        </w:rPr>
        <w:t xml:space="preserve"> . تمت مناقشة وتوضيح البيانات المالية الأساسية في الفصل 13. تتم مناقشة أقسام ومحتويات </w:t>
      </w:r>
      <w:r w:rsidRPr="00264629">
        <w:t>CAFR</w:t>
      </w:r>
      <w:r w:rsidRPr="00264629">
        <w:rPr>
          <w:rtl/>
        </w:rPr>
        <w:t xml:space="preserve"> الأخرى هنا باختصار. القسم التمهيدي ، يتضمن القسم التمهيدي في جدول محتويات ، خطاب (رسائل) الإحالة ، ومواد أخرى تعتبر مناسبة من قبل الإدارة. قد تتضمن المواد الأخرى ، على سبيل المثال ، المخطط التنظيمي ، نسخة من شهادة الإنجاز السابقة للتميز في إعداد التقارير المالية التي تمنحها جمعية ضباط المالية الحكومية (قائمة المسؤولين المنتخبين ، ووصف للكيان الحكومي ذكرت في. ﯾﻣﮐن اﻟﺣﺻول ﻋﻟﯽ ﻣزﯾد ﻣن اﻟﻣﻌﻟوﻣﺎت ﺣول ﺷﮭﺎدة ﺗﺣﻘﯾق اﻟﺗﻣﯾز ﻓﻲ اﻟﺗﻘﺎرﯾر اﻟﻣﺎﻟﯾﺔ ﻣن اﻟﻣوﻗﻊ اﻹﻟﮐﺗروﻧﻲ ﻟﻟﻣﻧظﻣﺔ ﻋﻟﯽ اﻟوﯾب </w:t>
      </w:r>
      <w:r w:rsidRPr="00264629">
        <w:t xml:space="preserve">http: //www.gfoa org </w:t>
      </w:r>
      <w:r w:rsidRPr="00264629">
        <w:rPr>
          <w:rFonts w:ascii="Arial" w:hAnsi="Arial" w:cs="Arial"/>
        </w:rPr>
        <w:t>ﯾﻌﺗﺑ</w:t>
      </w:r>
      <w:r w:rsidRPr="00264629">
        <w:rPr>
          <w:rtl/>
        </w:rPr>
        <w:t xml:space="preserve">ر اﻟدرﺟﺔ اﻟﻧﺎﺟﻣﺔ ﻋن اﻟﺿرﺑﺔ ﻣن اﻟﻣدﯾر اﻟﻣﺎﻟﻲ ھﻲ ﻗﺳم ﺗﻣﮭﯾدي ﻣﮭم ﻟﻟﻐﺎﯾﺔ ﻣن </w:t>
      </w:r>
      <w:r w:rsidRPr="00264629">
        <w:t xml:space="preserve">CAFR. </w:t>
      </w:r>
      <w:r w:rsidRPr="00264629">
        <w:rPr>
          <w:rtl/>
        </w:rPr>
        <w:t xml:space="preserve">تتواصل الرسالة عادةً: المتطلبات القانونية لعرض ، وحقيقة أن التقرير هو مسؤولية الإدارة ويتألف من ممثلين للإدارة فيما يتعلق بالمركز المالي ونتائج التشغيل للحكومة ، ونتائج أعمال التدقيق المالي البيانات "قد يحتوي خطاب الإحالة أيضًا على ملف تعريف للحكومة ومعلومات يمكن أن يجدها القراء مفيدًا في تقييم الوضع المالي للحكومة. قد تتضمن هذه المعلومات موضوعات مثل الاقتصاد المحلي والتخطيط المالي طويل الأجل. المعلومات المتعلقة بالبنود التي لم يتم اتخاذ قرارات نهائية بشأنها ، وممارسات إدارة النقد ، وممارسات إدارة المخاطر ، ولا يتم تضمين العديد من المجالات التي كان سيتم تغطيتها في هذه الرسالة لكون المعلومات متضمنة في </w:t>
      </w:r>
      <w:r w:rsidRPr="00264629">
        <w:t>MD</w:t>
      </w:r>
      <w:r w:rsidRPr="00264629">
        <w:rPr>
          <w:rtl/>
        </w:rPr>
        <w:t xml:space="preserve"> &amp; </w:t>
      </w:r>
      <w:r w:rsidRPr="00264629">
        <w:t>A</w:t>
      </w:r>
      <w:r w:rsidRPr="00264629">
        <w:rPr>
          <w:rtl/>
        </w:rPr>
        <w:t xml:space="preserve"> في القسم المالي. لا ينبغي أن يتسبب التكراري في تكرار المعلومات التي تشير إلى مناقشة خاطفة أو إعادة</w:t>
      </w:r>
    </w:p>
    <w:p w:rsidR="00264629" w:rsidRPr="00264629" w:rsidRDefault="00264629" w:rsidP="001A1296">
      <w:r w:rsidRPr="00264629">
        <w:rPr>
          <w:rtl/>
        </w:rPr>
        <w:t xml:space="preserve">مكونات القطاع التمثيلي السنوي الشامل 605 المكونات التمثيلية المطلوبة من قبل </w:t>
      </w:r>
      <w:r w:rsidRPr="00264629">
        <w:t xml:space="preserve">GASD 1. </w:t>
      </w:r>
      <w:r w:rsidRPr="00264629">
        <w:rPr>
          <w:rtl/>
        </w:rPr>
        <w:t xml:space="preserve">الجدول أو المحتويات 2. الحرف (أ) 3. المواد التي تعتبر مواد مناسبة للأغذية المشتركة </w:t>
      </w:r>
      <w:r w:rsidR="001A1296">
        <w:rPr>
          <w:rFonts w:hint="cs"/>
          <w:rtl/>
        </w:rPr>
        <w:t>1-</w:t>
      </w:r>
      <w:r w:rsidR="00130A95">
        <w:rPr>
          <w:rFonts w:hint="cs"/>
          <w:rtl/>
        </w:rPr>
        <w:t xml:space="preserve">الشائعة شملت </w:t>
      </w:r>
      <w:r w:rsidRPr="00264629">
        <w:rPr>
          <w:rtl/>
        </w:rPr>
        <w:t xml:space="preserve"> ، قائمة بالمسؤولين الرئيسيين 2 الهيكل التنظيمي </w:t>
      </w:r>
      <w:r w:rsidRPr="00264629">
        <w:t>a GFOA Esoellence by management n Pinional</w:t>
      </w:r>
      <w:r w:rsidRPr="00264629">
        <w:rPr>
          <w:rtl/>
        </w:rPr>
        <w:t xml:space="preserve"> التقارير التي تلقتها </w:t>
      </w:r>
      <w:r w:rsidRPr="00264629">
        <w:t>GF</w:t>
      </w:r>
      <w:r w:rsidRPr="00264629">
        <w:rPr>
          <w:rtl/>
        </w:rPr>
        <w:t xml:space="preserve"> للسنة المالية السابقة) القسم المالي </w:t>
      </w:r>
      <w:r w:rsidRPr="00264629">
        <w:t>Anditer's Repert Financial Statements and Required 5 Iaformation (</w:t>
      </w:r>
      <w:r w:rsidRPr="00264629">
        <w:rPr>
          <w:rtl/>
        </w:rPr>
        <w:t xml:space="preserve">انظر الفصل 13) * </w:t>
      </w:r>
      <w:r w:rsidRPr="00264629">
        <w:t xml:space="preserve">Managingments Discussion and Analysis Glovernment-Wide Financial Fundements Fiduciary Funds Financial Stalements. </w:t>
      </w:r>
      <w:r w:rsidRPr="00264629">
        <w:rPr>
          <w:rFonts w:ascii="Arial" w:hAnsi="Arial" w:cs="Arial"/>
        </w:rPr>
        <w:t>ﻣﻼﺣ</w:t>
      </w:r>
      <w:r w:rsidRPr="00264629">
        <w:rPr>
          <w:rtl/>
        </w:rPr>
        <w:t xml:space="preserve">ظﺎت ﻋﻟﯽ اﻟﺑﯾﺎﻧﺎت اﻟﻣﺎﻟﯾﺔ اﻟﺻﻧﺎدﯾق اﻻﺣﺗﯾﺎطﯾﺔ اﻟﺣﮐوﻣﯾﺔ اﻹﻗرارات اﻟﻣﺎﻟﯾﺔ اﻟﻘواﺋم اﻟﻣﺎﻟﯾﺔ اﻟﺑﻧود اﻟﻣﺎﻟﯾﺔ اﻷﺧرى اﻟﻣطﻟوب اﻟﺗﮐﻣﯾﻟﻲ اﻟﻣطﻟوب ﺗﺟﻣﻊ ﺑﯾن اﻹﺟراءات اﻟﻣﺎﻟﯾﺔ وﻏﯾرھﺎ ﺗم اﻹﺑﻼغ ﻋن ﺑﯾﺎن ﺳﺗﯾﻣﯾﻧﯾك ﻟﺳﯾﺎﺳﺔ </w:t>
      </w:r>
      <w:r w:rsidRPr="00264629">
        <w:t xml:space="preserve">Revenuex. </w:t>
      </w:r>
      <w:r w:rsidRPr="00264629">
        <w:rPr>
          <w:rtl/>
        </w:rPr>
        <w:t xml:space="preserve">اﻟﻧﻔﻘﺎت واﻟﺗﻐﯾﯾرات ﻓﻲ أرﺻدة اﻟﺻﻧﺎدﯾق ﺑﯾﺎن اﻹﯾرادات واﻟﻣﺻﺎرﯾف واﻟﺗﻐﯾرات ﻓﻲ اﻟﺻﻧدوق ﻧﺷر ﺻﻧﺎدﯾق اﻟﻣﺷﺎرﯾﻊ ﻏﯾر اﻟ ﮐﺎﻣﻟﺔ ﺻﺎﻓﻲ اﻟﻣرﮐز. بيان التدفقات النقدية بيان صافي بيان الإيرادات من الإيرادات والمصروفات والتغييرات في صافي بيان موقف الصندوق من التدفقات النقدية لصناديق خدمة الأمهات (بالنسبة لنوع الصندوق) بيان البيان الإيضاحي صافي بيان التغيرات في بيان الموقف الصافي الائتماني للتغيرات في الوكالة أصول الصندوق وصكوك الوكالة المالية الصندوق الفردي البيانات المالية والجدولة المقارنات الفردية للموازنات الثنائية </w:t>
      </w:r>
      <w:r w:rsidRPr="00264629">
        <w:rPr>
          <w:rtl/>
        </w:rPr>
        <w:lastRenderedPageBreak/>
        <w:t xml:space="preserve">التي لا تشكل جزءًا من البيانات المالية الأساسية (هـ) بيانات الصناديق الفردية مع بيانات المقارنة للسنة السابقة بيانات الصندوق الفردي بمزيد من التفصيل من الجمع أو القوائم المالية الأساسية الجداول اللازمة لإثبات الالتزام بالأحكام القانونية والتعاقدية المتعلقة بالمالية الجداول الزمنية لتقديم المعلومات المنتشرة في جميع أنحاء البيانات التي يمكن إجراؤها معا وعرضها بالتفصيل (على سبيل المثال ، الضرائب المستحقة ، والديون طويلة الأجل ، والاستثمارات) الجداول الزمنية لتقديم مزيد من التفاصيل عن المعلومات في البيانات (مصادر الدخل من مصادر الدخل وتفاصيل بيانات الإنفاق حسب الإدارات التفسيرات التوضيحية مفيدة في فهم البيانات والجداول المالية المجمعة والفرعية التي لم يتم تضمينها في الحساب المالي للقوائم المالية الأساسية قد يتم الافتراض عليها على صفحات الفاصل </w:t>
      </w:r>
      <w:r w:rsidR="001A1296">
        <w:rPr>
          <w:rFonts w:hint="cs"/>
          <w:rtl/>
        </w:rPr>
        <w:t>مباشرة</w:t>
      </w:r>
      <w:r w:rsidRPr="00264629">
        <w:rPr>
          <w:rtl/>
        </w:rPr>
        <w:t xml:space="preserve">على </w:t>
      </w:r>
      <w:r w:rsidR="001A1296">
        <w:t>j</w:t>
      </w:r>
      <w:r w:rsidR="001A1296">
        <w:rPr>
          <w:rFonts w:hint="cs"/>
          <w:rtl/>
        </w:rPr>
        <w:t xml:space="preserve">تصريحات </w:t>
      </w:r>
      <w:r w:rsidRPr="00264629">
        <w:rPr>
          <w:rtl/>
        </w:rPr>
        <w:t xml:space="preserve">و </w:t>
      </w:r>
      <w:r w:rsidRPr="00264629">
        <w:t>chodules</w:t>
      </w:r>
      <w:r w:rsidRPr="00264629">
        <w:rPr>
          <w:rtl/>
        </w:rPr>
        <w:t xml:space="preserve"> أو في قسم</w:t>
      </w:r>
    </w:p>
    <w:p w:rsidR="00264629" w:rsidRPr="00264629" w:rsidRDefault="00264629" w:rsidP="00251DFF">
      <w:r w:rsidRPr="00264629">
        <w:rPr>
          <w:rtl/>
        </w:rPr>
        <w:t xml:space="preserve">التقرير المالي التوجهات المالية معلومات حول صافي اإلنتاج آخر 10 سنوات من سنوات </w:t>
      </w:r>
      <w:r w:rsidRPr="00264629">
        <w:t>Fincal Lait 10</w:t>
      </w:r>
      <w:r w:rsidRPr="00264629">
        <w:rPr>
          <w:rtl/>
        </w:rPr>
        <w:t xml:space="preserve"> سنوات </w:t>
      </w:r>
      <w:r w:rsidRPr="00264629">
        <w:t>Fncat</w:t>
      </w:r>
      <w:r w:rsidRPr="00264629">
        <w:rPr>
          <w:rtl/>
        </w:rPr>
        <w:t xml:space="preserve"> آخر 10 سنوات </w:t>
      </w:r>
      <w:r w:rsidRPr="00264629">
        <w:t>Facal</w:t>
      </w:r>
      <w:r w:rsidRPr="00264629">
        <w:rPr>
          <w:rtl/>
        </w:rPr>
        <w:t xml:space="preserve"> السنوات الماضية 10 سنوات التشوه حول التغييرات في صافي </w:t>
      </w:r>
      <w:r w:rsidRPr="00264629">
        <w:t>Fosision</w:t>
      </w:r>
      <w:r w:rsidRPr="00264629">
        <w:rPr>
          <w:rtl/>
        </w:rPr>
        <w:t xml:space="preserve"> العائدات القدرة على </w:t>
      </w:r>
      <w:r w:rsidR="00C14462" w:rsidRPr="00264629">
        <w:rPr>
          <w:rFonts w:hint="cs"/>
          <w:rtl/>
        </w:rPr>
        <w:t>الإيراد</w:t>
      </w:r>
      <w:r w:rsidRPr="00264629">
        <w:rPr>
          <w:rtl/>
        </w:rPr>
        <w:t xml:space="preserve"> معلومات عن أسعار </w:t>
      </w:r>
      <w:r w:rsidRPr="00264629">
        <w:t>Revrain</w:t>
      </w:r>
      <w:r w:rsidRPr="00264629">
        <w:rPr>
          <w:rtl/>
        </w:rPr>
        <w:t xml:space="preserve"> معلومات حول دافعي العائدات الرئيسية معلومات عن العقارات </w:t>
      </w:r>
      <w:r w:rsidRPr="00264629">
        <w:t>Tas Levies</w:t>
      </w:r>
      <w:r w:rsidRPr="00264629">
        <w:rPr>
          <w:rtl/>
        </w:rPr>
        <w:t xml:space="preserve"> و 10 </w:t>
      </w:r>
      <w:r w:rsidRPr="00264629">
        <w:t>Pecal Yearn</w:t>
      </w:r>
      <w:r w:rsidRPr="00264629">
        <w:rPr>
          <w:rtl/>
        </w:rPr>
        <w:t xml:space="preserve"> السنة الحالية والسنة التاسعة </w:t>
      </w:r>
      <w:r w:rsidRPr="00264629">
        <w:t>Pri</w:t>
      </w:r>
      <w:r w:rsidRPr="00264629">
        <w:rPr>
          <w:rtl/>
        </w:rPr>
        <w:t xml:space="preserve"> آخر 10 سنوات </w:t>
      </w:r>
      <w:r w:rsidRPr="00264629">
        <w:t>Fscal Collections Capacity Information</w:t>
      </w:r>
      <w:r w:rsidRPr="00264629">
        <w:rPr>
          <w:rtl/>
        </w:rPr>
        <w:t xml:space="preserve"> معلومات حول نسب </w:t>
      </w:r>
      <w:r w:rsidRPr="00264629">
        <w:t>DebtL</w:t>
      </w:r>
      <w:r w:rsidRPr="00264629">
        <w:rPr>
          <w:rtl/>
        </w:rPr>
        <w:t xml:space="preserve"> المعلقة 10 </w:t>
      </w:r>
      <w:r w:rsidRPr="00264629">
        <w:t>Fcal Yean</w:t>
      </w:r>
      <w:r w:rsidRPr="00264629">
        <w:rPr>
          <w:rtl/>
        </w:rPr>
        <w:t xml:space="preserve"> آخر 10 سنة مالية معلومات حول نسب </w:t>
      </w:r>
      <w:r w:rsidRPr="00264629">
        <w:t>General 1 Bonded Deln</w:t>
      </w:r>
      <w:r w:rsidRPr="00264629">
        <w:rPr>
          <w:rtl/>
        </w:rPr>
        <w:t xml:space="preserve"> معلومات حول </w:t>
      </w:r>
      <w:r w:rsidRPr="00264629">
        <w:t>Direct and Overlapping DetCurrent Fical Year about Debt</w:t>
      </w:r>
      <w:r w:rsidRPr="00264629">
        <w:rPr>
          <w:rtl/>
        </w:rPr>
        <w:t xml:space="preserve"> القيود: هامش الديون القانونية معلومات أخرى حول الحد من الديون السنة المالية الحالية آخر 10 سنوات متتالية من التكوينات المالية حول التعهدات - الحزم </w:t>
      </w:r>
      <w:r w:rsidRPr="00264629">
        <w:t>CovengeLaxt 10</w:t>
      </w:r>
      <w:r w:rsidRPr="00264629">
        <w:rPr>
          <w:rtl/>
        </w:rPr>
        <w:t xml:space="preserve"> باكال سنوات المعلومات السكانية والاقتصادية حول الديموغرافية وآخر 10 سنوات </w:t>
      </w:r>
      <w:r w:rsidRPr="00264629">
        <w:t>Fscal</w:t>
      </w:r>
      <w:r w:rsidRPr="00264629">
        <w:rPr>
          <w:rtl/>
        </w:rPr>
        <w:t xml:space="preserve"> المؤشرات الاقتصادية معلومات حول موظفي الحكومة معلومات عن </w:t>
      </w:r>
      <w:r w:rsidR="00C14462" w:rsidRPr="00264629">
        <w:rPr>
          <w:rFonts w:hint="cs"/>
          <w:rtl/>
        </w:rPr>
        <w:t>أو براتين</w:t>
      </w:r>
      <w:r w:rsidRPr="00264629">
        <w:rPr>
          <w:rtl/>
        </w:rPr>
        <w:t xml:space="preserve"> المؤشرات معلومات حول الأصول الرأسمالية السنة الحالية السنة الماضية 10 سنوات </w:t>
      </w:r>
      <w:r w:rsidRPr="00264629">
        <w:t>Fincal</w:t>
      </w:r>
      <w:r w:rsidRPr="00264629">
        <w:rPr>
          <w:rtl/>
        </w:rPr>
        <w:t xml:space="preserve"> آخر 10 سنوات </w:t>
      </w:r>
      <w:r w:rsidRPr="00264629">
        <w:t>Fiacal</w:t>
      </w:r>
      <w:r w:rsidRPr="00264629">
        <w:rPr>
          <w:rtl/>
        </w:rPr>
        <w:t xml:space="preserve"> معلومات التشغيل آخر 10 سنوات من الموضوعات المالية ويجب أن تستند فقط إلى الحقائق أو الشروط أو القرارات المعروفة حاليًا. يمكن لخادم الإحالة تغطية مواضيع أخرى ومناقشة الآثار المترتبة على الأحداث التي قد تحدث أو القرارات التي لم يتم اتخاذها بعد - مثل الآثار المحتملة المتوقعة للتوسع الكبير في شركة كبيرة في إطار الحكومة الفقهية. يجب ألا يتم تضمين التأثير المحتمل لمثل هذا القرار في </w:t>
      </w:r>
      <w:r w:rsidRPr="00264629">
        <w:t>MD</w:t>
      </w:r>
      <w:r w:rsidRPr="00264629">
        <w:rPr>
          <w:rtl/>
        </w:rPr>
        <w:t xml:space="preserve"> &amp; </w:t>
      </w:r>
      <w:r w:rsidRPr="00264629">
        <w:t>A</w:t>
      </w:r>
      <w:r w:rsidRPr="00264629">
        <w:rPr>
          <w:rtl/>
        </w:rPr>
        <w:t xml:space="preserve"> ما لم يتم اتخاذ القرار بحلول تاريخ تقرير المدقق. يحتوي القسم المالي من </w:t>
      </w:r>
      <w:r w:rsidR="00251DFF">
        <w:rPr>
          <w:rFonts w:hint="cs"/>
          <w:rtl/>
          <w:lang w:bidi="ar-IQ"/>
        </w:rPr>
        <w:t>ا</w:t>
      </w:r>
      <w:r w:rsidRPr="00264629">
        <w:rPr>
          <w:rtl/>
        </w:rPr>
        <w:t>لحكومة مع بنية كيان بسيط عدة أقسام فرعية: القسم المالي. تقرير مدققي الحسابات البيانات المالية الأساسية والمعلومات التكميلية المطلوبة. الدمج والبيانات المالية الخاصة بالصندوق والفردي إن التفسيرات التوضيحية ليست قسماً منفصلاً ولكنها ملاحظات على البيانات المالية المجمعة والصناديق الفردية. تقرير المدقق إن تقرير مدقق الحسابات عن البيانات المالية هو أول بند معروض في</w:t>
      </w:r>
    </w:p>
    <w:p w:rsidR="00264629" w:rsidRPr="00264629" w:rsidRDefault="00264629" w:rsidP="00264629">
      <w:pPr>
        <w:rPr>
          <w:rtl/>
          <w:lang w:bidi="ar-IQ"/>
        </w:rPr>
      </w:pPr>
    </w:p>
    <w:p w:rsidR="00264629" w:rsidRPr="00264629" w:rsidRDefault="00264629" w:rsidP="00251DFF">
      <w:pPr>
        <w:rPr>
          <w:rFonts w:hint="cs"/>
          <w:rtl/>
          <w:lang w:bidi="ar-IQ"/>
        </w:rPr>
      </w:pPr>
      <w:r w:rsidRPr="00264629">
        <w:t xml:space="preserve">Auudiser The Hanorable </w:t>
      </w:r>
      <w:r w:rsidRPr="00264629">
        <w:rPr>
          <w:rtl/>
        </w:rPr>
        <w:t>أعضاء مجلس إدارة</w:t>
      </w:r>
      <w:r w:rsidRPr="00264629">
        <w:t xml:space="preserve"> Guiford County</w:t>
      </w:r>
      <w:r w:rsidRPr="00264629">
        <w:rPr>
          <w:rtl/>
        </w:rPr>
        <w:t xml:space="preserve">، </w:t>
      </w:r>
      <w:r w:rsidRPr="00264629">
        <w:t xml:space="preserve">North Carokina </w:t>
      </w:r>
      <w:r w:rsidRPr="00264629">
        <w:rPr>
          <w:rtl/>
        </w:rPr>
        <w:t>لقد قمنا بمراجعة البيانات المالية المرفقة للنشاطين التابعين</w:t>
      </w:r>
      <w:r w:rsidRPr="00264629">
        <w:t xml:space="preserve"> gvernrental </w:t>
      </w:r>
      <w:r w:rsidRPr="00264629">
        <w:rPr>
          <w:rtl/>
        </w:rPr>
        <w:t>، وهو العنصر المقدم بشكل منفصل في مقاطعة</w:t>
      </w:r>
      <w:r w:rsidRPr="00264629">
        <w:t xml:space="preserve"> Cudlord </w:t>
      </w:r>
      <w:r w:rsidRPr="00264629">
        <w:rPr>
          <w:rtl/>
        </w:rPr>
        <w:t xml:space="preserve">، </w:t>
      </w:r>
      <w:r w:rsidRPr="00264629">
        <w:t>North Carolins (</w:t>
      </w:r>
      <w:r w:rsidRPr="00264629">
        <w:rPr>
          <w:rtl/>
        </w:rPr>
        <w:t>مقاطعة</w:t>
      </w:r>
      <w:r w:rsidRPr="00264629">
        <w:t xml:space="preserve"> Tahle of Contents. </w:t>
      </w:r>
      <w:r w:rsidRPr="00264629">
        <w:rPr>
          <w:rtl/>
        </w:rPr>
        <w:t>هذه الامتيازات المالية تفتح على هذه القوائم المالية البيانات التي أدلي بها على بياناتنا</w:t>
      </w:r>
      <w:r w:rsidRPr="00264629">
        <w:t xml:space="preserve"> sdit </w:t>
      </w:r>
      <w:r w:rsidRPr="00264629">
        <w:rPr>
          <w:rtl/>
        </w:rPr>
        <w:t>هي</w:t>
      </w:r>
      <w:r w:rsidRPr="00264629">
        <w:t xml:space="preserve"> reeponsablity af </w:t>
      </w:r>
      <w:r w:rsidRPr="00264629">
        <w:rPr>
          <w:rtl/>
        </w:rPr>
        <w:t>إدارة المقاطعة لدينا</w:t>
      </w:r>
      <w:r w:rsidRPr="00264629">
        <w:t xml:space="preserve"> responshdlity </w:t>
      </w:r>
      <w:r w:rsidRPr="00264629">
        <w:rPr>
          <w:rtl/>
        </w:rPr>
        <w:t>هو</w:t>
      </w:r>
      <w:r w:rsidRPr="00264629">
        <w:t xml:space="preserve"> io </w:t>
      </w:r>
      <w:r w:rsidRPr="00264629">
        <w:rPr>
          <w:rtl/>
        </w:rPr>
        <w:t>أجرينا</w:t>
      </w:r>
      <w:r w:rsidRPr="00264629">
        <w:t xml:space="preserve"> auda </w:t>
      </w:r>
      <w:r w:rsidRPr="00264629">
        <w:rPr>
          <w:rtl/>
        </w:rPr>
        <w:t>لدينا وفقا لمعايير</w:t>
      </w:r>
      <w:r w:rsidRPr="00264629">
        <w:t xml:space="preserve"> sudlising </w:t>
      </w:r>
      <w:r w:rsidRPr="00264629">
        <w:rPr>
          <w:rtl/>
        </w:rPr>
        <w:t>المقبولة عموما في الولايات المتحدة من</w:t>
      </w:r>
      <w:r w:rsidRPr="00264629">
        <w:t xml:space="preserve"> Americs </w:t>
      </w:r>
      <w:r w:rsidRPr="00264629">
        <w:rPr>
          <w:rtl/>
        </w:rPr>
        <w:t>و</w:t>
      </w:r>
      <w:r w:rsidRPr="00264629">
        <w:t xml:space="preserve"> tandards </w:t>
      </w:r>
      <w:r w:rsidRPr="00264629">
        <w:rPr>
          <w:rtl/>
        </w:rPr>
        <w:t>تنطبق على</w:t>
      </w:r>
      <w:r w:rsidRPr="00264629">
        <w:t xml:space="preserve"> audil </w:t>
      </w:r>
      <w:r w:rsidRPr="00264629">
        <w:rPr>
          <w:rtl/>
        </w:rPr>
        <w:t>المالية التي لا تزال في</w:t>
      </w:r>
      <w:r w:rsidRPr="00264629">
        <w:t xml:space="preserve"> Governe Andaing Stanulands </w:t>
      </w:r>
      <w:r w:rsidRPr="00264629">
        <w:rPr>
          <w:rtl/>
        </w:rPr>
        <w:t>، التي أزعجت من قبل</w:t>
      </w:r>
      <w:r w:rsidRPr="00264629">
        <w:t xml:space="preserve"> citroliler ciencral </w:t>
      </w:r>
      <w:r w:rsidRPr="00264629">
        <w:rPr>
          <w:rtl/>
        </w:rPr>
        <w:t>من معايير</w:t>
      </w:r>
      <w:r w:rsidRPr="00264629">
        <w:t xml:space="preserve"> Stale Stales </w:t>
      </w:r>
      <w:r w:rsidRPr="00264629">
        <w:rPr>
          <w:rtl/>
        </w:rPr>
        <w:t>المتحدة تتطلب منا أن نثبت و نؤثر على ما إذا كانت البيانات المالية خالية من الأخطاء الجوهرية.البيانات المالية الخاصة بمؤسسة</w:t>
      </w:r>
      <w:r w:rsidRPr="00264629">
        <w:t xml:space="preserve"> GreensbotolCuford Tourism Development Autharity </w:t>
      </w:r>
      <w:r w:rsidRPr="00264629">
        <w:rPr>
          <w:rtl/>
        </w:rPr>
        <w:t>لم يتم تدقيقها في</w:t>
      </w:r>
      <w:r w:rsidRPr="00264629">
        <w:t xml:space="preserve"> aooordanee </w:t>
      </w:r>
      <w:r w:rsidRPr="00264629">
        <w:rPr>
          <w:rtl/>
        </w:rPr>
        <w:t>مع</w:t>
      </w:r>
      <w:r w:rsidRPr="00264629">
        <w:t xml:space="preserve"> Govenmni inSn dards. </w:t>
      </w:r>
      <w:r w:rsidRPr="00264629">
        <w:rPr>
          <w:rtl/>
        </w:rPr>
        <w:t>تدل عملية المراجعة على أن</w:t>
      </w:r>
      <w:r w:rsidRPr="00264629">
        <w:t xml:space="preserve"> evidencr </w:t>
      </w:r>
      <w:r w:rsidRPr="00264629">
        <w:rPr>
          <w:rtl/>
        </w:rPr>
        <w:t>تقوم بتغطية المبالغ والإفصاحات في الحساب المالي</w:t>
      </w:r>
      <w:r w:rsidRPr="00264629">
        <w:t xml:space="preserve"> aatit abo inclados </w:t>
      </w:r>
      <w:r w:rsidRPr="00264629">
        <w:rPr>
          <w:rtl/>
        </w:rPr>
        <w:t>بفرض المبادئ المحاسبية المستخدمة والتقديرات الهامة التي أدت إلى إدارة</w:t>
      </w:r>
      <w:r w:rsidRPr="00264629">
        <w:t xml:space="preserve"> ly </w:t>
      </w:r>
      <w:r w:rsidRPr="00264629">
        <w:rPr>
          <w:rtl/>
        </w:rPr>
        <w:t>، بالإضافة إلى تقييم بيان العرض العام ، نعتقد أن لدينا أساسًا قابلًا للتضمين لأفكارنا. رأينا في التدقيق الذي أجريناه ، أن البيانات المالية التي تم التحقق منها إلى أعلى من القيمة العادلة ، في جميع النواحي المتعلقة بالموظفين ، وأنشطة الحكومة المالية المعنية هي الوحدة المكونة للوحدة ، ولكل صندوق ، والصندوق العام للسنة المنتهية في ذلك التاريخ. معلومات صندوق إعادة التمويل من</w:t>
      </w:r>
      <w:r w:rsidRPr="00264629">
        <w:t xml:space="preserve"> coranty a </w:t>
      </w:r>
      <w:r w:rsidRPr="00264629">
        <w:rPr>
          <w:rtl/>
        </w:rPr>
        <w:t>من يونيو 230</w:t>
      </w:r>
      <w:r w:rsidRPr="00264629">
        <w:t xml:space="preserve">.oxi </w:t>
      </w:r>
      <w:r w:rsidRPr="00264629">
        <w:rPr>
          <w:rtl/>
        </w:rPr>
        <w:t>، والتغيرات الفعالة في التدفقات النقدية</w:t>
      </w:r>
      <w:r w:rsidRPr="00264629">
        <w:t xml:space="preserve"> tinancal </w:t>
      </w:r>
      <w:r w:rsidRPr="00264629">
        <w:rPr>
          <w:rtl/>
        </w:rPr>
        <w:t>حيث</w:t>
      </w:r>
      <w:r w:rsidRPr="00264629">
        <w:t xml:space="preserve"> applieable </w:t>
      </w:r>
      <w:r w:rsidRPr="00264629">
        <w:rPr>
          <w:rtl/>
        </w:rPr>
        <w:t xml:space="preserve">، </w:t>
      </w:r>
      <w:r w:rsidRPr="00264629">
        <w:t xml:space="preserve">dhereof </w:t>
      </w:r>
      <w:r w:rsidRPr="00264629">
        <w:rPr>
          <w:rtl/>
        </w:rPr>
        <w:t>و</w:t>
      </w:r>
      <w:r w:rsidRPr="00264629">
        <w:t xml:space="preserve"> fornsity </w:t>
      </w:r>
      <w:r w:rsidRPr="00264629">
        <w:rPr>
          <w:rtl/>
        </w:rPr>
        <w:t>مع مبادئ المحاسبة</w:t>
      </w:r>
      <w:r w:rsidRPr="00264629">
        <w:t xml:space="preserve"> </w:t>
      </w:r>
      <w:r w:rsidR="00251DFF">
        <w:rPr>
          <w:rFonts w:hint="cs"/>
          <w:rtl/>
        </w:rPr>
        <w:t xml:space="preserve">عامة </w:t>
      </w:r>
    </w:p>
    <w:p w:rsidR="00264629" w:rsidRPr="00264629" w:rsidRDefault="00264629" w:rsidP="0075779F">
      <w:pPr>
        <w:rPr>
          <w:lang w:bidi="ar-IQ"/>
        </w:rPr>
      </w:pPr>
      <w:r w:rsidRPr="00264629">
        <w:rPr>
          <w:rtl/>
        </w:rPr>
        <w:t>تدقيق الحسابات</w:t>
      </w:r>
      <w:r w:rsidRPr="00264629">
        <w:t xml:space="preserve"> </w:t>
      </w:r>
      <w:r w:rsidR="00251DFF">
        <w:rPr>
          <w:rFonts w:hint="cs"/>
          <w:rtl/>
        </w:rPr>
        <w:t>القياسي</w:t>
      </w:r>
      <w:r w:rsidRPr="00264629">
        <w:t xml:space="preserve"> </w:t>
      </w:r>
      <w:r w:rsidRPr="00264629">
        <w:rPr>
          <w:rtl/>
        </w:rPr>
        <w:t>، أصدر</w:t>
      </w:r>
      <w:r w:rsidRPr="00264629">
        <w:t xml:space="preserve"> </w:t>
      </w:r>
      <w:r w:rsidRPr="00264629">
        <w:rPr>
          <w:rtl/>
        </w:rPr>
        <w:t>تقريرنا بتاريخ 2 ديسمبر / كانون الأول على اعتبارنا للرقابة الداخلية للمقاطعة على التقارير المالية وعلى اختباراتنا الخاصة بتوافقها مع بعض أحكام اتفاقيات المنح ، ومسائل أخرى الغرض من هذا التقرير هو وصف نطاق التقارير المالية والامتثال ونتائج هذا الاختبار وعدم تقديم تقارير مالية أو عن الالتزام بأن</w:t>
      </w:r>
      <w:r w:rsidR="00251DFF">
        <w:rPr>
          <w:rFonts w:hint="cs"/>
          <w:rtl/>
        </w:rPr>
        <w:t xml:space="preserve"> التقرير</w:t>
      </w:r>
      <w:r w:rsidRPr="00264629">
        <w:rPr>
          <w:rtl/>
        </w:rPr>
        <w:t>جزء لا يتجزأ من التدقيق الذي تم إجراؤه في</w:t>
      </w:r>
      <w:r w:rsidRPr="00264629">
        <w:t xml:space="preserve"> Ghandmment </w:t>
      </w:r>
      <w:r w:rsidR="0075779F" w:rsidRPr="00264629">
        <w:t>Audi sing</w:t>
      </w:r>
      <w:r w:rsidRPr="00264629">
        <w:t xml:space="preserve"> </w:t>
      </w:r>
      <w:r w:rsidR="0075779F" w:rsidRPr="00264629">
        <w:t>Standards</w:t>
      </w:r>
      <w:r w:rsidRPr="00264629">
        <w:t xml:space="preserve"> </w:t>
      </w:r>
      <w:r w:rsidRPr="00264629">
        <w:rPr>
          <w:rtl/>
        </w:rPr>
        <w:t xml:space="preserve">وينبغي أن يؤخذ في الاعتبار عند تقييم نتائج مراجعتنا بشكل عام قبلت في الولايات المتحدة الأمريكية بأن يتم عرض مناقشة الإدارة والمعلومات التكميلية كما </w:t>
      </w:r>
      <w:r w:rsidRPr="00264629">
        <w:rPr>
          <w:rtl/>
        </w:rPr>
        <w:lastRenderedPageBreak/>
        <w:t>هي مدرجة في جدول المحتويات لتكملة المعلومات المالية الأساسية إلى هذه البيانات ، على الرغم من أنها ليست جزءًا من البيانات المالية الأساسية المطلوبة في المحاسبة الحكومية. مجلس المعايير ، الذي يعتبره جزءًا أساسيًا من النظام المالي الترحيل لوضع البيانات المالية الأساسية في سياق تشغيلي ملائم ، أو اقتصادي ، أو تاريخي ، لقد قمنا بتطبيق معلومات تكميلية محدودة من</w:t>
      </w:r>
      <w:r w:rsidRPr="00264629">
        <w:t xml:space="preserve"> </w:t>
      </w:r>
      <w:r w:rsidR="0075779F">
        <w:rPr>
          <w:rFonts w:hint="cs"/>
          <w:rtl/>
        </w:rPr>
        <w:t xml:space="preserve">الموالية </w:t>
      </w:r>
      <w:r w:rsidRPr="00264629">
        <w:rPr>
          <w:rtl/>
        </w:rPr>
        <w:t xml:space="preserve">التكميلية وفقًا لمعايير التدقيق المقبولة عمومًا في الولايات المتحدة الأمريكية ، والتي تتألف من استفسارات حول الإدارة حول المعلومات للتوافق مع المعلومات والمقارنة التي حصلنا عليها أثناء تدقيقنا للبيانات المالية </w:t>
      </w:r>
      <w:r w:rsidR="0075779F" w:rsidRPr="00264629">
        <w:rPr>
          <w:rFonts w:hint="cs"/>
          <w:rtl/>
        </w:rPr>
        <w:t>الأساسية</w:t>
      </w:r>
      <w:r w:rsidRPr="00264629">
        <w:rPr>
          <w:rtl/>
        </w:rPr>
        <w:t xml:space="preserve">. لا نعبر عن رأي أو نقدم أي معلومات عن المعلومات لأن الإجراءات المحدودة لا تزودنا بما يكفي من التبريرات لإفساد الرأي أو تم إجراء تدقيقنا بغرض تكوين آراء حول البيانات المالية التي تشكل مجتمعةً المحافظة الأساسية القوائم المالية. يتم تقديم بيانات وجداول التمويل المجمعة والأفراد ، وبيانات التمويل الإضافية كما هو موضح في جدول المحتويات لأغراض التحليل الإضافي وليست جزءًا مطلوبًا من البيانات المالية الأساسية جداول البيانات المالية للجمع والفرز المالي ، و تقع البيانات المالية الإضافية على عاتق الإدارة وهي مستمدة مباشرة من السجلات المحاسبية وغيرها من السجلات المستخدمة في إعداد البيانات المالية وتتعلق بها مباشرة. وقد خضعت هذه المعلومات لإجراءات مراجعة الحسابات المطبقة في مراجعة البيانات المالية الأساسية وبعض الإضافات الأخرى. الإجراءات ، بما في ذلك مقارنة هذه المعلومات وتوفيقها مباشرة مع السجلات المحاسبية الأساسية والسجلات الأخرى المستخدمة لإعداد البيانات المالية أو البيانات المالية نفسها ، وغيرها من الإجراءات الإضافية وفقاً لمعايير التدقيق المعتمدة في الولايات المتحدة الأمريكية. في رأينا ، يتم ذكر المعلومات بشكل عادل ، من جميع النواحي المادية في الانهيار إلى البيانات المالية الأساسية المتخذة ككل. لم يتم إخضاع الأقسام التمهيدية والإحصائية لإجراءات التدقيق المطبقة في البيانات المالية الأساسية ، وبالتالي فإننا لا نعبر عن رأي </w:t>
      </w:r>
    </w:p>
    <w:p w:rsidR="00264629" w:rsidRPr="00264629" w:rsidRDefault="00264629" w:rsidP="001A1296">
      <w:r w:rsidRPr="00264629">
        <w:rPr>
          <w:rtl/>
        </w:rPr>
        <w:t xml:space="preserve">608 </w:t>
      </w:r>
      <w:r w:rsidR="0075779F">
        <w:rPr>
          <w:rFonts w:hint="cs"/>
          <w:rtl/>
        </w:rPr>
        <w:t xml:space="preserve"> </w:t>
      </w:r>
      <w:r w:rsidRPr="00264629">
        <w:rPr>
          <w:rtl/>
        </w:rPr>
        <w:t>لا تتم تغطية التقارير المالية من خلال الرأي. يتم التعامل مع هذه البنود على أنها بيانات مصاحبة (</w:t>
      </w:r>
      <w:r w:rsidR="001A1296">
        <w:rPr>
          <w:rFonts w:hint="cs"/>
          <w:rtl/>
        </w:rPr>
        <w:t>تكميلية</w:t>
      </w:r>
      <w:r w:rsidRPr="00264629">
        <w:t xml:space="preserve">) </w:t>
      </w:r>
      <w:r w:rsidRPr="00264629">
        <w:rPr>
          <w:rtl/>
        </w:rPr>
        <w:t xml:space="preserve">مقدمة لأغراض التحليل الإضافي في بعض عمليات تدقيق البيان المالي ، يغطي تقرير المدقق كلاً من التوزيع العادل للبيانات المالية الخاصة </w:t>
      </w:r>
      <w:r w:rsidR="0075779F" w:rsidRPr="00264629">
        <w:rPr>
          <w:rFonts w:hint="cs"/>
          <w:rtl/>
        </w:rPr>
        <w:t>بالهدير</w:t>
      </w:r>
      <w:r w:rsidRPr="00264629">
        <w:rPr>
          <w:rtl/>
        </w:rPr>
        <w:t xml:space="preserve"> وعرض الشرائح للبيانات المالية المجمعة والخاصة بالصناديق الفردية. منذ فترة طويلة أوصى هذا التدقيق "ثنائي الرأي" الهيئات مجلس معايير المحاسبة الحكومية (</w:t>
      </w:r>
      <w:r w:rsidRPr="00264629">
        <w:t xml:space="preserve">) </w:t>
      </w:r>
      <w:r w:rsidRPr="00264629">
        <w:rPr>
          <w:rtl/>
        </w:rPr>
        <w:t xml:space="preserve">ومن قبل جمعية ضباط المالية الحكومية ، ولكن لا يتم استرجاعها ما لم يفرضها القانون أو اللوائح المتعلقة بحكومات معينة. تغطي البيانات المالية الأساسية والمعلومات الضرورية الإضافية الفصل 13 الحد الأدنى من متطلبات التقارير المالية للأغراض العامة للأغراض العامة ، والتي تشمل التحليل الإداري للمناقشة (المتطلبات المالية التكميلية الأساسية - الاستراتيجيات المالية على مستوى القطاع المالي البيانات المالية على مستوى القطاع المالي (أو كل فئة من فئات الصناديق) اﻟﻘواﺋم اﻟﻣﺎﻟﯾﺔ اﻷﺧرى اﻟﻣطﻟوب اﻟﺗﮐﻣﯾﻟﻲ اﻟﻣطﻟوب ھذه اﻟﻣﮐوﻧﺎت اﻟﺗﻲ ﺗم ﻣراﺟﻌﺗﮭﺎ ، وﻟﮐن اﻟﻔﮭم اﻹﺿﺎﻓﻲ اﻷﺳﺎﺳﻲ ﻣن ھذا اﻟﻔﺻل ھو أن </w:t>
      </w:r>
      <w:r w:rsidRPr="00264629">
        <w:t xml:space="preserve">GASB </w:t>
      </w:r>
      <w:r w:rsidRPr="00264629">
        <w:rPr>
          <w:rFonts w:ascii="Arial" w:hAnsi="Arial" w:cs="Arial"/>
        </w:rPr>
        <w:t>ﺗ</w:t>
      </w:r>
      <w:r w:rsidRPr="00264629">
        <w:rPr>
          <w:rtl/>
        </w:rPr>
        <w:t xml:space="preserve">وﺻﻲ ﺑﺈﺗﺎﺣﺔ ھذا اﻟﻣﻌﻟوﻣﺎت ﻓﻲ ﺳﯾﺎق </w:t>
      </w:r>
      <w:r w:rsidRPr="00264629">
        <w:t xml:space="preserve">- </w:t>
      </w:r>
      <w:r w:rsidRPr="00264629">
        <w:rPr>
          <w:rtl/>
        </w:rPr>
        <w:t xml:space="preserve">وﻟﯾس ﻓﻘط ﮐﺗﻘرﯾر ﻣﺎﻟﻲ ﻣﻧﻔﺻل. بيانات وجداول الصناديق الفردية تم تقديم كل من البيانات المالية المجمعة والصناديق الفردية في فصول من الفصول ، وكانت بعض الأمثلة جزءًا لا يتجزأ من الأمثلة التوضيحية ، والبعض الآخر أمثلة توضيحية من حكومات فعلية ، كما هو واضح من هذه الصناديق ومن الرسوم البيانية في ، كومبي تركز بيانات على تقديم معلومات حول كل صندوق في مجموعة مشتركة أو مجموعة فرعية من الصناديق يتم تجميع معلومات التمويل الفردي في بيان الجمع في عمود كلي. كما هو موضح في الرسم التوضيحي 15-3 ، يتضح هذا العمود الإجمالي مع مبلغ ذي صلة في أحد البيانات المالية لشركة </w:t>
      </w:r>
      <w:r w:rsidR="00077961">
        <w:rPr>
          <w:rFonts w:hint="cs"/>
          <w:rtl/>
        </w:rPr>
        <w:t>قاعدة</w:t>
      </w:r>
      <w:r w:rsidRPr="00264629">
        <w:t xml:space="preserve">. </w:t>
      </w:r>
      <w:r w:rsidRPr="00264629">
        <w:rPr>
          <w:rtl/>
        </w:rPr>
        <w:t xml:space="preserve">مطلوب الجمع بين البيانات في لدعم أي معلومات </w:t>
      </w:r>
      <w:r w:rsidR="00077961" w:rsidRPr="00264629">
        <w:rPr>
          <w:rtl/>
        </w:rPr>
        <w:t xml:space="preserve">في </w:t>
      </w:r>
      <w:r w:rsidRPr="00264629">
        <w:rPr>
          <w:rtl/>
        </w:rPr>
        <w:t xml:space="preserve">المالية الصندوق الذي يجمع البيانات من اثنين أو أكثر من الصناديق ملاحظة في الرسم التوضيحي 15-3 أن يتم تجميع الأموال الحكومية غير الحكومية في عمود واحد في البيانات المالية الصناديق الحكومية ، بغض النظر عن نوع صندوق معين. ولذلك ، يجب أن يكون هناك بيان مالي يجمع جميعهم. هذا البيان يجمع مع ، ويوفر معلومات صندوق فردية لدعم ، "أخرى (غير أموال) في العمود الأموال" في البيانات المالية الصناديق الحكومية. إذا كانت البيانات الخاصة بكل من هذه الصناديق الحكومية غير الحكومية ومجموعتها بالمثل ، يجب تقديم البيانات المجمعة لصناديق الشركات غير الأغرض لدعم "بيانات الصناديق الأخرى (غير الهامة) في البيانات المالية للصناديق الاستهلالية. المعلومات المقدمة في الصندوق يتم تجميع البيانات المالية لكل نوع من أنواع الصناديق الأخرى حسب نوع الصندوق ، لذلك تلزم مجموعة من البيانات المالية لكل نوع من أنواع الصناديق الأخرى - صناديق الخدمة الداخلية وصناديق </w:t>
      </w:r>
      <w:r w:rsidR="00077961" w:rsidRPr="00264629">
        <w:rPr>
          <w:rFonts w:hint="cs"/>
          <w:rtl/>
        </w:rPr>
        <w:t>الاستئمانان</w:t>
      </w:r>
      <w:r w:rsidRPr="00264629">
        <w:rPr>
          <w:rtl/>
        </w:rPr>
        <w:t xml:space="preserve"> التقاعدية وصناديق الأمانة </w:t>
      </w:r>
      <w:r w:rsidR="00077961" w:rsidRPr="00264629">
        <w:rPr>
          <w:rFonts w:hint="cs"/>
          <w:rtl/>
        </w:rPr>
        <w:t>الاستئمانين</w:t>
      </w:r>
      <w:r w:rsidRPr="00264629">
        <w:rPr>
          <w:rtl/>
        </w:rPr>
        <w:t xml:space="preserve"> للأغراض الخاصة والوكالة. (ولكن صناديق الوكالة هي بيان التغيرات في الموجودات والمطلوبات لصناديق الوكالة ، التي تم توضيحها في الفصل 12). لا يتم دائمًا طلب البيانات المالية للأموال الفردية من قبل </w:t>
      </w:r>
      <w:r w:rsidRPr="00264629">
        <w:t>GAAP</w:t>
      </w:r>
      <w:r w:rsidRPr="00264629">
        <w:rPr>
          <w:rtl/>
        </w:rPr>
        <w:t xml:space="preserve"> ومع ذلك ، يجب تقديمها عند الحاجة لتوفير :</w:t>
      </w:r>
    </w:p>
    <w:p w:rsidR="00264629" w:rsidRPr="00264629" w:rsidRDefault="00264629" w:rsidP="001A1296">
      <w:pPr>
        <w:rPr>
          <w:rFonts w:hint="cs"/>
          <w:rtl/>
          <w:lang w:bidi="ar-IQ"/>
        </w:rPr>
      </w:pPr>
      <w:r w:rsidRPr="00264629">
        <w:rPr>
          <w:rtl/>
        </w:rPr>
        <w:t xml:space="preserve">التقرير التفصيلي السنوي الفردي 609 تفاصيل التصنيف الإضافية التي تتجاوز تلك الواردة في البيانات المالية الأساسية أو في البيانات المالية المجمعة. . بيانات مقارنة للسنة السابقة للأموال الفردية. وتجدر الإشارة إلى أن الحكومة قد تختار تقديم بيانات مالية للأموال الفردية لصندوق معين من نوع الصندوق ، ولكن ليس لجميع الصناديق من هذا النوع. ﺗﻔﺎﺻﯾل إﺿﺎﻓﯾﺔ ﻟﮭذا اﻟﺻﻧدوق ﺑﺳﺑب أھﻣﯾﺗﮫ أو ﺑﺳﺑب ارﺗﻔﺎع ﻣﺳﺗوى اﻟﻔﺎﺋدة ﻟﻣﺟﻣوﻋﺔ ﻓرﻋﯾﺔ ﻣﻌروﻓﺔ ﻣن ﻣﺳﺗﺧدﻣﻲ اﻟﺑﯾﺎن اﻟﻣﺎﻟﯾﺔ. 1. إظهار الالتزام القانوني والتعاقيدي المتعلق بالتمويل ، مثل عندما تكون السندات </w:t>
      </w:r>
      <w:r w:rsidRPr="00264629">
        <w:t xml:space="preserve">i- </w:t>
      </w:r>
      <w:r w:rsidRPr="00264629">
        <w:rPr>
          <w:rtl/>
        </w:rPr>
        <w:t xml:space="preserve">بيانات أكثر تفصيلاً من تلك التي تظهر في البيانات المالية ، مثل إدارة البيانات الحالية المفصّلة التي تراها ضرورية ، مثل المقبوضات النقدية والحرمان. : </w:t>
      </w:r>
      <w:r w:rsidRPr="00264629">
        <w:lastRenderedPageBreak/>
        <w:t>ures</w:t>
      </w:r>
      <w:r w:rsidRPr="00264629">
        <w:rPr>
          <w:rtl/>
        </w:rPr>
        <w:t xml:space="preserve"> تتطلب بعض البيانات لتكون </w:t>
      </w:r>
      <w:r w:rsidRPr="00264629">
        <w:t>presenled</w:t>
      </w:r>
      <w:r w:rsidRPr="00264629">
        <w:rPr>
          <w:rtl/>
        </w:rPr>
        <w:t xml:space="preserve"> في </w:t>
      </w:r>
      <w:r w:rsidRPr="00264629">
        <w:t xml:space="preserve">CAFR. </w:t>
      </w:r>
      <w:r w:rsidRPr="00264629">
        <w:rPr>
          <w:rtl/>
        </w:rPr>
        <w:t xml:space="preserve">لا تعتبر جداول الربح من جداول الإيرادات والنفقات الخاصة بواحد أو بعض أو جميع الصناديق مطلوبة للعرض العادل بما يتفق مع مبادئ المحاسبة المقبولة عموماً إلا إذا كانت مذكورة في بيان أو حاشية. ومع ذلك ، فإن </w:t>
      </w:r>
      <w:r w:rsidRPr="00264629">
        <w:t>ctatements</w:t>
      </w:r>
      <w:r w:rsidRPr="00264629">
        <w:rPr>
          <w:rtl/>
        </w:rPr>
        <w:t xml:space="preserve"> المالية </w:t>
      </w:r>
      <w:r w:rsidRPr="00264629">
        <w:t>nften schhadnles ceveral ceveral</w:t>
      </w:r>
      <w:r w:rsidRPr="00264629">
        <w:rPr>
          <w:rtl/>
        </w:rPr>
        <w:t xml:space="preserve"> التي تعتبر</w:t>
      </w:r>
    </w:p>
    <w:p w:rsidR="00264629" w:rsidRPr="00264629" w:rsidRDefault="00264629" w:rsidP="002D683D">
      <w:pPr>
        <w:rPr>
          <w:rtl/>
          <w:lang w:bidi="ar-IQ"/>
        </w:rPr>
      </w:pPr>
      <w:r w:rsidRPr="00264629">
        <w:rPr>
          <w:rtl/>
        </w:rPr>
        <w:t xml:space="preserve">610 اﻟﻔﺻل اﻟﺧﺎﻣس 15 اﻟﻣﺎﻟﯾﺔ ﺗﻌﺗﺑر ﺗوﺿﯾﺣﺎت ﻣﻼﺣظﺎت إﺿﺎﻓﯾﺔ ﻋﻟﯽ اﻟﺗﺟﻣﯾﻌﺎت واﻟﺟداول اﻟزﻣﻧﯾﺔ اﻟﻣﺎﻟﯾﺔ ﻟﻟﺻﻧدوق اﻟﻔردي وﻟوﺣدات وﺣدات اﻟوﺣدة اﻟﻣﮐوﻧﺔ. نهج الإبلاغ المزدوج بحيث لا يتم الخلط بينه وبين الملاحظات على البيانات المالية الأساسية ، والتي يشار إليها باسم "ملاحظات على البيانات المالية" في تدوين </w:t>
      </w:r>
      <w:r w:rsidRPr="00264629">
        <w:t>GASB</w:t>
      </w:r>
      <w:r w:rsidRPr="00264629">
        <w:rPr>
          <w:rtl/>
        </w:rPr>
        <w:t xml:space="preserve"> يشير التدوين إلى أن دور التوضيحات السردية هو توفير غير مدرجة في البيانات المالية ، والملاحظات على البيانات المالية ، والجداول الزمنية الضرورية لفهم تلك الشروط والجداول ، وإثبات </w:t>
      </w:r>
      <w:r w:rsidR="00127333" w:rsidRPr="00264629">
        <w:rPr>
          <w:rFonts w:hint="cs"/>
          <w:rtl/>
        </w:rPr>
        <w:t>الالتزام</w:t>
      </w:r>
      <w:r w:rsidRPr="00264629">
        <w:rPr>
          <w:rtl/>
        </w:rPr>
        <w:t xml:space="preserve"> </w:t>
      </w:r>
      <w:r w:rsidR="00127333" w:rsidRPr="00264629">
        <w:rPr>
          <w:rFonts w:hint="cs"/>
          <w:rtl/>
        </w:rPr>
        <w:t>بالأحكام</w:t>
      </w:r>
      <w:r w:rsidRPr="00264629">
        <w:rPr>
          <w:rtl/>
        </w:rPr>
        <w:t xml:space="preserve"> القانونية والتعاقدية ذات الصلة. (في الحالات القصوى ، قد يكون من الضروري إعداد تقرير خاص منفصل عن الأساس القانوني). يمكن تقديم التفسيرات السردية ، بما في ذلك تفسير طبيعة وغرض الصناديق المختلفة ، على صفحات الفاصل ، مباشرة على البيانات والجداول. أو في قسم منفصل. الإحصائية يحتوي القسم الأخير من </w:t>
      </w:r>
      <w:r w:rsidRPr="00264629">
        <w:t>CAFR</w:t>
      </w:r>
      <w:r w:rsidRPr="00264629">
        <w:rPr>
          <w:rtl/>
        </w:rPr>
        <w:t xml:space="preserve"> على خمس فئات من العروض الإحصائية القسم الكثير من البيانات المستخرجة من البيانات المالية الحالية والسابقة تقرأ وجهة نظر تاريخية وتوجهية للحكومة. المعلومات الديموغرافية والاقتصادية والتشغيلية المطبقة على الحكومة المقدمة للتقارير. كقاعدة عامة ، تعرض معظم الجداول الإحصائية معلومات لمدة 10 سنوات فردية ، بما في ذلك أحدث سنة مالية. ومع ذلك ، قد تقدم بعض الجداول معلومات عن السنة الحالية فقط للسنة التاسعة السابقة (على سبيل المثال ، 2010 و 2001). يفترض </w:t>
      </w:r>
      <w:r w:rsidRPr="00264629">
        <w:t>GASB</w:t>
      </w:r>
      <w:r w:rsidRPr="00264629">
        <w:rPr>
          <w:rtl/>
        </w:rPr>
        <w:t xml:space="preserve"> أن كل من هذه الفئات الخمس المختلفة من العروض الإحصائية سيتم تضمينها في القسم الإحصائي للمنشأة ما لم تكن بشكل واضح وقابل للتطبيق. يقدم الشكل التوضيحي 15-1 نظرة عامة شاملة لأنواع المعلومات المطلوبة في كل فئة. على الرغم من أن الفضاء يحول دون تغطية شاملة بتفصيل أكبر من </w:t>
      </w:r>
      <w:r w:rsidRPr="00264629">
        <w:t xml:space="preserve">Illustration 15-1. </w:t>
      </w:r>
      <w:r w:rsidRPr="00264629">
        <w:rPr>
          <w:rtl/>
        </w:rPr>
        <w:t xml:space="preserve">أيضا ، يتم تضمين أمثلة على أنواع واسعة من جداول الإحصاء ، أي تلك التي تقدم (1) بيانات 10 سنوات و (2) بيانات سنة واحدة على التوالي اتجاهات المعلومات المالية تنص على أن "معلومات الاتجاهات المالية تهدف إلى مساعدة المستخدمين على فهم وتقييم كيف تغير وضع الحكومة المالي بمرور الوقت". إلى تلك النهاية. يجب الإبلاغ عن أربعة أنواع مختلفة من المعلومات عادة في جداول الاتجاهات لعشر سنوات ، على النحو التالي: معلومات حول مكونات صافي الإنفاق للأنشطة الحكومية وأنشطة الأنشطة التجارية والحكومة الأولية الإجمالية: * صافي الاستثمار في الأصول الرأسمالية * الموقع المقيد معلومات حول التغييرات في موقف </w:t>
      </w:r>
      <w:r w:rsidR="001406E2">
        <w:rPr>
          <w:rFonts w:hint="cs"/>
          <w:rtl/>
        </w:rPr>
        <w:t>الحكومات</w:t>
      </w:r>
      <w:r w:rsidRPr="00264629">
        <w:rPr>
          <w:rtl/>
        </w:rPr>
        <w:t xml:space="preserve"> ونشاط العمل النوع:. النفقات حسب الوظيفة أو البرنامج أو أي نشاط آخر قابل للتعريف. إيرادات البرنامج حسب الفئة (</w:t>
      </w:r>
      <w:r w:rsidRPr="00264629">
        <w:t>Le</w:t>
      </w:r>
      <w:r w:rsidRPr="00264629">
        <w:rPr>
          <w:rtl/>
        </w:rPr>
        <w:t xml:space="preserve"> ، ورسوم الخدمات ، والمنح التشغيلية وأصول </w:t>
      </w:r>
      <w:r w:rsidR="001406E2" w:rsidRPr="00264629">
        <w:rPr>
          <w:rFonts w:hint="cs"/>
          <w:rtl/>
        </w:rPr>
        <w:t>البواري</w:t>
      </w:r>
      <w:r w:rsidRPr="00264629">
        <w:rPr>
          <w:rtl/>
        </w:rPr>
        <w:t xml:space="preserve"> ، ومنح رأس المال والمساهمات) إجمالي صافي (النفقات) الإيرادات الإيرادات العامة والتغيرات الأخرى في صافي المركز حسب النوع '. التغير الكلي في صافي المركزين كلا النوعين من المعلومات عن أرصدة الصناديق </w:t>
      </w:r>
      <w:r w:rsidR="001406E2" w:rsidRPr="00264629">
        <w:rPr>
          <w:rFonts w:hint="cs"/>
          <w:rtl/>
        </w:rPr>
        <w:t>الجنادرية</w:t>
      </w:r>
      <w:r w:rsidRPr="00264629">
        <w:rPr>
          <w:rtl/>
        </w:rPr>
        <w:t xml:space="preserve"> (إن وجدت) التغييرات في أرصدة الصناديق</w:t>
      </w:r>
    </w:p>
    <w:p w:rsidR="006D488F" w:rsidRDefault="006D488F">
      <w:pPr>
        <w:rPr>
          <w:rtl/>
          <w:lang w:bidi="ar-IQ"/>
        </w:rPr>
      </w:pPr>
    </w:p>
    <w:p w:rsidR="006D488F" w:rsidRPr="006D488F" w:rsidRDefault="006D488F" w:rsidP="001406E2">
      <w:pPr>
        <w:shd w:val="clear" w:color="auto" w:fill="0084FF"/>
        <w:spacing w:line="240" w:lineRule="auto"/>
        <w:rPr>
          <w:rFonts w:ascii="inherit" w:eastAsia="Times New Roman" w:hAnsi="inherit" w:cs="Segoe UI"/>
          <w:color w:val="FFFFFF"/>
          <w:sz w:val="23"/>
          <w:szCs w:val="23"/>
        </w:rPr>
      </w:pPr>
      <w:r w:rsidRPr="006D488F">
        <w:rPr>
          <w:rFonts w:ascii="inherit" w:eastAsia="Times New Roman" w:hAnsi="inherit" w:cs="Segoe UI"/>
          <w:color w:val="FFFFFF"/>
          <w:sz w:val="23"/>
          <w:szCs w:val="23"/>
          <w:rtl/>
        </w:rPr>
        <w:t xml:space="preserve">لتقرير المالي الشامل - نسبة الدين من مجموع الديون غير المسددة إلى مجموع الدخل الشخصي (أو ما يشبه ذلك القيمة مثل القيمة الفعلية المقدرة للممتلكات الخاضعة للضريبة). نسبة الحد الأقصى للديون غير المسددة معلومات حول الجواهر المستعبدة معلومات عن الديون المباشرة والمتداخلة ، حيثما ينطبق ذلك ، للعام الحالي فقط. مجموع الدين المستحق (كل من الحكومة المباشرة والمتداخلة) "النسبة المئوية للخلف متداخلة بين الكيان الحكومي المُبلغ عنه والحكومات المتداخلة" حول الدوران القانوني لقانون الديون (إن وجد) للسنة الحالية فقط "حد مبلغ ديب ، إجمالي صافي الدين ينطبق على الحد من الديون ، ومبلغ هامش الضمان القانوني - ونسبة هامش الديون القانونية إلى الحد من الديون لآخر عشر يانصيب المعلومات تعهدت تغطية الإيرادات ، بما في ذلك نسبة التغطية ، للسنوات العشر الماضية المالية والمعلومات الديمغرافية والاقتصادية من أجل لفهم البيئة العامة التي يعمل بها كيان حكومي ، من المهم الحصول على معلومات تتعلق بالتركيبة السكانية والاقتصاد المحلي. هذه المعلومات لا تشمل فقط المؤشرات المتعلقة بالسكان ومعدلات البطالة وما شابه ذلك ، ولكن أيضًا البيانات المتعلقة بأرباب العمل الرئيسيين في الاختصاص: الحد الأدنى ، ينبغي أن تكون المعلومات التالية عن الديمغرافيا والاقتصاد تم اختصارها خلال السنوات العشر الماضية. السكان مجموع الدخل الشخصي نصيب الفرد من الدخل الشخصي. معدل البطالة . </w:t>
      </w:r>
      <w:r w:rsidRPr="006D488F">
        <w:rPr>
          <w:rFonts w:ascii="inherit" w:eastAsia="Times New Roman" w:hAnsi="inherit" w:cs="Segoe UI"/>
          <w:color w:val="FFFFFF"/>
          <w:sz w:val="23"/>
          <w:szCs w:val="23"/>
        </w:rPr>
        <w:t>Iaformation</w:t>
      </w:r>
      <w:r w:rsidRPr="006D488F">
        <w:rPr>
          <w:rFonts w:ascii="inherit" w:eastAsia="Times New Roman" w:hAnsi="inherit" w:cs="Segoe UI"/>
          <w:color w:val="FFFFFF"/>
          <w:sz w:val="23"/>
          <w:szCs w:val="23"/>
          <w:rtl/>
        </w:rPr>
        <w:t xml:space="preserve"> حول أصحاب العمل 10</w:t>
      </w:r>
      <w:r w:rsidR="001406E2">
        <w:rPr>
          <w:rFonts w:ascii="inherit" w:eastAsia="Times New Roman" w:hAnsi="inherit" w:cs="Segoe UI" w:hint="cs"/>
          <w:color w:val="FFFFFF"/>
          <w:sz w:val="23"/>
          <w:szCs w:val="23"/>
          <w:rtl/>
        </w:rPr>
        <w:t>مبادى</w:t>
      </w:r>
      <w:r w:rsidR="001406E2" w:rsidRPr="006D488F">
        <w:rPr>
          <w:rFonts w:ascii="inherit" w:eastAsia="Times New Roman" w:hAnsi="inherit" w:cs="Segoe UI"/>
          <w:color w:val="FFFFFF"/>
          <w:sz w:val="23"/>
          <w:szCs w:val="23"/>
          <w:rtl/>
        </w:rPr>
        <w:t xml:space="preserve"> </w:t>
      </w:r>
      <w:r w:rsidRPr="006D488F">
        <w:rPr>
          <w:rFonts w:ascii="inherit" w:eastAsia="Times New Roman" w:hAnsi="inherit" w:cs="Segoe UI"/>
          <w:color w:val="FFFFFF"/>
          <w:sz w:val="23"/>
          <w:szCs w:val="23"/>
          <w:rtl/>
        </w:rPr>
        <w:t xml:space="preserve"> الاختصاص (المقدمة للعام الحالي والسنة التاسعة السابقة) عدد الموظفين لكل صاحب العمل الرئيسي النسبة المئوية من إجمالي قاعدة التوظيف يمثل كل صاحب العمل معلومات التشغيل تنص </w:t>
      </w:r>
      <w:r w:rsidRPr="006D488F">
        <w:rPr>
          <w:rFonts w:ascii="inherit" w:eastAsia="Times New Roman" w:hAnsi="inherit" w:cs="Segoe UI"/>
          <w:color w:val="FFFFFF"/>
          <w:sz w:val="23"/>
          <w:szCs w:val="23"/>
        </w:rPr>
        <w:t>GASB</w:t>
      </w:r>
      <w:r w:rsidRPr="006D488F">
        <w:rPr>
          <w:rFonts w:ascii="inherit" w:eastAsia="Times New Roman" w:hAnsi="inherit" w:cs="Segoe UI"/>
          <w:color w:val="FFFFFF"/>
          <w:sz w:val="23"/>
          <w:szCs w:val="23"/>
          <w:rtl/>
        </w:rPr>
        <w:t xml:space="preserve"> على أن الهدف من تشغيل المعلومات هو "توفير المعلومات السياقية حول عمليات الحكومة ومواردها تساعد القراء في استخدام معلومات البيان المالي شرطًا اقتصاديًا حكوميًا. وبناءًا على ذلك ، هناك ثلاثة أنواع على الأقل من معلومات التشغيل ضرورية عدد الموظفين الحكوميين المُبلّغين حسب الوظيفة أو البرنامج أو </w:t>
      </w:r>
      <w:r w:rsidRPr="006D488F">
        <w:rPr>
          <w:rFonts w:ascii="inherit" w:eastAsia="Times New Roman" w:hAnsi="inherit" w:cs="Segoe UI"/>
          <w:color w:val="FFFFFF"/>
          <w:sz w:val="23"/>
          <w:szCs w:val="23"/>
          <w:rtl/>
        </w:rPr>
        <w:lastRenderedPageBreak/>
        <w:t>أي نشاط آخر قابل للتحديد مؤشرات التشغيل التي توفر معلومات عن اﻟﻤﻄﺎﻟﺐ أو ﻣﺴﺘﻮى اﻟﺨﺪﻣﺔ ، ﻋﻠﻰ ﺳﺒﻴﻞ اﻟﻤﺜﺎل (ﻋﻠﻰ ﺳﺒﻴﻞ اﻟﻤﺜﺎل ﻻ اﻟﺤﺼﺮ) ه. ﻋﺪد اﻻﻋﺘﻘﺎﻻت. ﻋﺪد ﻣﻜﺎﻟﻤﺎت اﻟﺤﺮﻳﻖ. أﻃﻨﺎن اﻟﻨﻔﺎﻳﺎت اﻟﺘﻲ ﺗﻢ ﺟﻤﻌﻬﺎ ﺗﻢ ﺗﻮﻓﻴﺮ ﺑﺮاﻣﺞ ﺗﺮﻓﻴﻬﻴﺔ ﻣﻌﻠﻮﻣﺎت ﺣﻮل ﺣﺠﻢ أﺻﻮل رأس اﻟﻤﺎل أو اﺳﺘﺨﺪاﻣﻬﺎ أو ﻃﺒﻴﻌﺘﻬﺎ ، ﻋﻠﻰ ﺳﺒﻴﻞ اﻟﻤﺜﺎل ﻻ اﻟﺤﺼﺮ</w:t>
      </w:r>
      <w:r w:rsidRPr="006D488F">
        <w:rPr>
          <w:rFonts w:ascii="inherit" w:eastAsia="Times New Roman" w:hAnsi="inherit" w:cs="Segoe UI"/>
          <w:color w:val="FFFFFF"/>
          <w:sz w:val="23"/>
          <w:szCs w:val="23"/>
        </w:rPr>
        <w:t xml:space="preserve">) </w:t>
      </w:r>
      <w:r w:rsidRPr="006D488F">
        <w:rPr>
          <w:rFonts w:ascii="inherit" w:eastAsia="Times New Roman" w:hAnsi="inherit" w:cs="Segoe UI"/>
          <w:color w:val="FFFFFF"/>
          <w:sz w:val="23"/>
          <w:szCs w:val="23"/>
          <w:rtl/>
        </w:rPr>
        <w:t>ميل ميل من الشوارع والطرق السريعة</w:t>
      </w:r>
    </w:p>
    <w:p w:rsidR="006D488F" w:rsidRPr="006D488F" w:rsidRDefault="006D488F" w:rsidP="006D488F">
      <w:pPr>
        <w:shd w:val="clear" w:color="auto" w:fill="0084FF"/>
        <w:spacing w:line="240" w:lineRule="auto"/>
        <w:rPr>
          <w:rFonts w:ascii="inherit" w:eastAsia="Times New Roman" w:hAnsi="inherit" w:cs="Segoe UI" w:hint="cs"/>
          <w:color w:val="FFFFFF"/>
          <w:sz w:val="23"/>
          <w:szCs w:val="23"/>
          <w:rtl/>
          <w:lang w:bidi="ar-IQ"/>
        </w:rPr>
      </w:pPr>
      <w:r w:rsidRPr="006D488F">
        <w:rPr>
          <w:rFonts w:ascii="inherit" w:eastAsia="Times New Roman" w:hAnsi="inherit" w:cs="Segoe UI"/>
          <w:color w:val="FFFFFF"/>
          <w:sz w:val="23"/>
          <w:szCs w:val="23"/>
          <w:rtl/>
        </w:rPr>
        <w:t xml:space="preserve">لقد ظهرت مجموعة متنوعة من التقارير الخاصة في السنوات الأخيرة. وبعضها ضروري لأن الحكومة تقوم بإعداد </w:t>
      </w:r>
      <w:r w:rsidRPr="006D488F">
        <w:rPr>
          <w:rFonts w:ascii="inherit" w:eastAsia="Times New Roman" w:hAnsi="inherit" w:cs="Segoe UI"/>
          <w:color w:val="FFFFFF"/>
          <w:sz w:val="23"/>
          <w:szCs w:val="23"/>
        </w:rPr>
        <w:t>CAFR</w:t>
      </w:r>
      <w:r w:rsidRPr="006D488F">
        <w:rPr>
          <w:rFonts w:ascii="inherit" w:eastAsia="Times New Roman" w:hAnsi="inherit" w:cs="Segoe UI"/>
          <w:color w:val="FFFFFF"/>
          <w:sz w:val="23"/>
          <w:szCs w:val="23"/>
          <w:rtl/>
        </w:rPr>
        <w:t xml:space="preserve"> وفقًا لمبادئ المحاسبة المقبولة عموماً ، ولكن يجب عليها أيضًا تقديم تقرير غير مبادئ المحاسبة المقبولة عموماً (ربما من المقبوضات النقدية والمصروفات والأرصدة) إلى وكالة حكومية. ﻧﻮﻗ </w:t>
      </w:r>
      <w:r w:rsidRPr="006D488F">
        <w:rPr>
          <w:rFonts w:ascii="inherit" w:eastAsia="Times New Roman" w:hAnsi="inherit" w:cs="Segoe UI"/>
          <w:color w:val="FFFFFF"/>
          <w:sz w:val="23"/>
          <w:szCs w:val="23"/>
        </w:rPr>
        <w:t>This</w:t>
      </w:r>
      <w:r w:rsidRPr="006D488F">
        <w:rPr>
          <w:rFonts w:ascii="inherit" w:eastAsia="Times New Roman" w:hAnsi="inherit" w:cs="Segoe UI"/>
          <w:color w:val="FFFFFF"/>
          <w:sz w:val="23"/>
          <w:szCs w:val="23"/>
          <w:rtl/>
        </w:rPr>
        <w:t xml:space="preserve"> هﺬا اﻟﻨﻮع ﻣﻦ اﻷوﺿﺎع ﻓﻲ ﻣﻌﺎﻳﻴﺮ ﻣﻌﺎﻳﻴﺮ اﻟﻨﻘﻞ اﻟﺠﺎهﺰة (</w:t>
      </w:r>
      <w:r w:rsidRPr="006D488F">
        <w:rPr>
          <w:rFonts w:ascii="inherit" w:eastAsia="Times New Roman" w:hAnsi="inherit" w:cs="Segoe UI"/>
          <w:color w:val="FFFFFF"/>
          <w:sz w:val="23"/>
          <w:szCs w:val="23"/>
        </w:rPr>
        <w:t>GASB) ﻗﺪ ﻳﺴﻤﻰ ﻧﻮ</w:t>
      </w:r>
      <w:r w:rsidRPr="006D488F">
        <w:rPr>
          <w:rFonts w:ascii="inherit" w:eastAsia="Times New Roman" w:hAnsi="inherit" w:cs="Segoe UI"/>
          <w:color w:val="FFFFFF"/>
          <w:sz w:val="23"/>
          <w:szCs w:val="23"/>
          <w:rtl/>
        </w:rPr>
        <w:t xml:space="preserve">ع ﺁﺧﺮ ﻣﻦ اﻟﺘﻘﺎرﻳﺮ اﻟﺘﻲ ﺗﻈﻬﺮ ﺑﺎﻟﺘﻘﺮﻳﺮ اﻟﻤﻜﺜﻒ (أو "اﻟﺸﻌﺒﻲ"). وتشمل معظم البيانات المالية المكثفة للغاية (حتى الموحدة) ، والتي قد يتم تقديمها في كتيبات أو كتيبات قصيرة تسلط الضوء على الجوانب الرئيسية للنتائج والحالة التشغيلية للحكومة. وتدعو جمعية المحاسبين الحكوميين إلى إطلاق شكل من أشكال الإبلاغ الشعبي بعنوان الإبلاغ المرتكز على المواطن. ﻻ ﺗﻌﺗﺑر ﻋروض اﻟﺑﯾﺎﻧﺎت اﻟﻣﺧﺗﻟﻔﺔ ﺑﺷﮐل ﻣﺧﺗﻟف ﻋن اﻟﺑﯾﺎﻧﺎت اﻟﻣﺎﻟﯾﺔ اﻷﺳﺎﺳﯾﺔ ﻣؤھﻟﺔ </w:t>
      </w:r>
      <w:r w:rsidRPr="006D488F">
        <w:rPr>
          <w:rFonts w:ascii="inherit" w:eastAsia="Times New Roman" w:hAnsi="inherit" w:cs="Segoe UI"/>
          <w:color w:val="FFFFFF"/>
          <w:sz w:val="23"/>
          <w:szCs w:val="23"/>
        </w:rPr>
        <w:t>GAAP</w:t>
      </w:r>
      <w:r w:rsidRPr="006D488F">
        <w:rPr>
          <w:rFonts w:ascii="inherit" w:eastAsia="Times New Roman" w:hAnsi="inherit" w:cs="Segoe UI"/>
          <w:color w:val="FFFFFF"/>
          <w:sz w:val="23"/>
          <w:szCs w:val="23"/>
          <w:rtl/>
        </w:rPr>
        <w:t xml:space="preserve"> أﺧﯾراً ، ﯾﻌﺗرف ﺗدوﯾﯾن </w:t>
      </w:r>
      <w:r w:rsidRPr="006D488F">
        <w:rPr>
          <w:rFonts w:ascii="inherit" w:eastAsia="Times New Roman" w:hAnsi="inherit" w:cs="Segoe UI"/>
          <w:color w:val="FFFFFF"/>
          <w:sz w:val="23"/>
          <w:szCs w:val="23"/>
        </w:rPr>
        <w:t>GASB</w:t>
      </w:r>
      <w:r w:rsidRPr="006D488F">
        <w:rPr>
          <w:rFonts w:ascii="inherit" w:eastAsia="Times New Roman" w:hAnsi="inherit" w:cs="Segoe UI"/>
          <w:color w:val="FFFFFF"/>
          <w:sz w:val="23"/>
          <w:szCs w:val="23"/>
          <w:rtl/>
        </w:rPr>
        <w:t xml:space="preserve"> أن اﻟﻣﻌﺎﯾﯾر اﻟﺗﻲ وﺿﻌﺗﮭﺎ </w:t>
      </w:r>
      <w:r w:rsidRPr="006D488F">
        <w:rPr>
          <w:rFonts w:ascii="inherit" w:eastAsia="Times New Roman" w:hAnsi="inherit" w:cs="Segoe UI"/>
          <w:color w:val="FFFFFF"/>
          <w:sz w:val="23"/>
          <w:szCs w:val="23"/>
        </w:rPr>
        <w:t>GASB</w:t>
      </w:r>
      <w:r w:rsidRPr="006D488F">
        <w:rPr>
          <w:rFonts w:ascii="inherit" w:eastAsia="Times New Roman" w:hAnsi="inherit" w:cs="Segoe UI"/>
          <w:color w:val="FFFFFF"/>
          <w:sz w:val="23"/>
          <w:szCs w:val="23"/>
          <w:rtl/>
        </w:rPr>
        <w:t xml:space="preserve"> واﻟﺳﻟﻔﯾﺎت اﻟﺳﺎﺑﻘﺔ ھﻲ اﻟﺣد اﻷدﻧﯽ ﻣن ﻣﻌﺎﯾﯾر اﻟﺗﻘﺎرﯾر اﻟﻣﺎﻟﯾﺔ ، وﻟﯾس اﻟﻣﻌﺎﯾﯾر اﻟﻘﺻوى. وﺑﻧﺎء ﻋﻟﯾﮫ ، ﯾﻧﺑﻐﻲ أن ﯾﺗﺣﻣل اﻟﻣﺳؤول اﻟﻣﺎﻟﻲ ﻣﺳؤوﻟﯾﺔ إﻋداد اﻟﻣﻌﻠوﻣﺎت اﻷﺧرى اﻟﻣطﻠوﺑﺔ ﻟ </w:t>
      </w:r>
      <w:r w:rsidRPr="006D488F">
        <w:rPr>
          <w:rFonts w:ascii="inherit" w:eastAsia="Times New Roman" w:hAnsi="inherit" w:cs="Segoe UI"/>
          <w:color w:val="FFFFFF"/>
          <w:sz w:val="23"/>
          <w:szCs w:val="23"/>
        </w:rPr>
        <w:t>for</w:t>
      </w:r>
      <w:r w:rsidRPr="006D488F">
        <w:rPr>
          <w:rFonts w:ascii="inherit" w:eastAsia="Times New Roman" w:hAnsi="inherit" w:cs="Segoe UI"/>
          <w:color w:val="FFFFFF"/>
          <w:sz w:val="23"/>
          <w:szCs w:val="23"/>
          <w:rtl/>
        </w:rPr>
        <w:t xml:space="preserve">دارة واﻟﺳﯾﺎﺳﺔ وﻏﯾرھﺎ ﻣن اﻟﻘرارات. كما يلاحظ مجلس معايير المحاسبة الحكومية أن المعلومات الإضافية قد تكون ذات قيمة مثل معلومات </w:t>
      </w:r>
      <w:r w:rsidRPr="006D488F">
        <w:rPr>
          <w:rFonts w:ascii="inherit" w:eastAsia="Times New Roman" w:hAnsi="inherit" w:cs="Segoe UI"/>
          <w:color w:val="FFFFFF"/>
          <w:sz w:val="23"/>
          <w:szCs w:val="23"/>
        </w:rPr>
        <w:t>GAAP</w:t>
      </w:r>
      <w:r w:rsidRPr="006D488F">
        <w:rPr>
          <w:rFonts w:ascii="inherit" w:eastAsia="Times New Roman" w:hAnsi="inherit" w:cs="Segoe UI"/>
          <w:color w:val="FFFFFF"/>
          <w:sz w:val="23"/>
          <w:szCs w:val="23"/>
          <w:rtl/>
        </w:rPr>
        <w:t xml:space="preserve"> في تلبية بعض احتياجات المعلومات. اﻟﺗﻘﺎرﯾر اﻟﻣﺎﻟﯾﺔ - اﻟﺗﺟﻣﯾﻊ اﻹﻟﮐﺗروﻧﻲ ﺣﺗﯽ ھذه اﻟﻧﻘطﺔ ، ﻓﻘد اﻓﺗرﺿت ﻧﻘﺎﺷﺗﻧﺎ ﺑﺷﺄن إﻋداد اﻟﺗﻘﺎرﯾر اﻟﻣﺎﻟﯾﺔ ﺑﺷﮐل ﻧﻣوذﺟﻲ أن اﻟﺟﮭﺔ اﻟﺣﮐوﻣﯾﺔ اﻟﻣﻌرﻓﺔ ﻗﺎﻧوﻧﯾﺎً ﻓﻘط ﻣدرﺟﺔ ﻓﻲ ﺑﯾﺎﻧﺎﺗﮭﺎ اﻟﻣﺎﻟﯾ ﺔ اﻟﺧﺎﺻﺔ ﺑﻣﻌﺎﯾﯾر اﻟﺗﻘﯾﯾم اﻟﻣﺑﺎرك. (لقد قمنا بتضمين معلومات الوحدة المكونة في بعض الرسوم التوضيحية أو أشارنا إلى موقعها للتأكد من اكتمالها ناقشناه.) أشرنا إلى هذا الوضع كحكومة ذات هيكل بسيط للكيان. يتطلب مجلس معايير المحاسبة الحكومية (</w:t>
      </w:r>
      <w:r w:rsidRPr="006D488F">
        <w:rPr>
          <w:rFonts w:ascii="inherit" w:eastAsia="Times New Roman" w:hAnsi="inherit" w:cs="Segoe UI"/>
          <w:color w:val="FFFFFF"/>
          <w:sz w:val="23"/>
          <w:szCs w:val="23"/>
        </w:rPr>
        <w:t xml:space="preserve">GASB) </w:t>
      </w:r>
      <w:r w:rsidRPr="006D488F">
        <w:rPr>
          <w:rFonts w:ascii="inherit" w:eastAsia="Times New Roman" w:hAnsi="inherit" w:cs="Segoe UI"/>
          <w:color w:val="FFFFFF"/>
          <w:sz w:val="23"/>
          <w:szCs w:val="23"/>
          <w:rtl/>
        </w:rPr>
        <w:t xml:space="preserve">أن يتم تضمين بعض المنظمات المرتبطة بها كوحدات تابعة للحكومة. كيان التقارير. تقرير مالي حكومي يتضمن بشكل خاطئ أو يستبعد وحدة مكون محتملة من المركز المالي الحالي لإعداد التقارير أو نتائج العمليات. ﺗﺗﺿﻣن اﻟﻌدﯾد ﻣن </w:t>
      </w:r>
      <w:r w:rsidRPr="006D488F">
        <w:rPr>
          <w:rFonts w:ascii="inherit" w:eastAsia="Times New Roman" w:hAnsi="inherit" w:cs="Segoe UI"/>
          <w:color w:val="FFFFFF"/>
          <w:sz w:val="23"/>
          <w:szCs w:val="23"/>
        </w:rPr>
        <w:t>SLGs</w:t>
      </w:r>
      <w:r w:rsidRPr="006D488F">
        <w:rPr>
          <w:rFonts w:ascii="inherit" w:eastAsia="Times New Roman" w:hAnsi="inherit" w:cs="Segoe UI"/>
          <w:color w:val="FFFFFF"/>
          <w:sz w:val="23"/>
          <w:szCs w:val="23"/>
          <w:rtl/>
        </w:rPr>
        <w:t xml:space="preserve"> ھﯾﺎﮐل ﮐﯾﺎﻧﺎت ﻣﻌﻘدة وﯾﺟب أن ﺗﺷﻣل ﻣؤﺳﺳﺎت ﺣﮐوﻣﯾﺔ أﺧرى أو ﺷﺑﮫ ﺣﮐوﻣﯾﺔ أو ﺣﺗﯽ ﻣﺟﻣوﻋﺎت ﻏﯾر ﺣﮐوﻣﯾﺔ ﻓﻲ ﺗﻘﺎرﯾرھﺎ اﻟﻣﺎﻟﯾﺔ. لا تقتصر كياناتها المبلغة على كيانها المحدد قانونًا. فهي تتمتع بدرجات متفاوتة من السلطة و / أو المسؤوليات لجهات حكومية أو شبه حكومية أو كيانات أخرى منفصلة قانونًا ، مثل المناطق التعليمية ، وسلطات الإسكان ، وسلطات البناء ، وأحياء الحرائق ، والمياه. اﻟﻤﺤﺎﻓﻈﺎت ، واﻟﺴﻠﻄﺎت اﻟﺠﻮﻳﺔ ، واﻟﺴﻠﻄﺎت اﻟﻌﺎﺑﺮة يحتوي كيان واحد على الأقل من التقارير الحكومية المحلية على فريق بيسبول نصف مهني. ﻳﻮﺿﺢ اﻟﺮﺳﻢ اﻟﺘﻮﺿﻴﺤﻲ ١٥-٦ ﺑﻌﺾ اﻟﺘﻔﺎﻋﻼت اﻟﻤﺤﺘﻤﻠﺔ ﺑﻴﻦ اﻟﺤﻜﻮﻣﺔ اﻟﻤﺤﻠﻴﺔ واﻟﻜﻴﺎﻧﺎت اﻟﻤﺸﺎرآﺔ اﻷﺧﺮى. يجب على أي حكومة (مثل مدينة لوبورغ في الرسم التوضيحي 15-6) التي لديها منظمات مستقلة قانونًا مرتبطة بها أن تحدد ما إذا كان الكيان الخاص بالإبلاغ يجب أن يشمل مؤسسة أو أكثر من المنظمات المرتبطة بها (يشار إليها كوحدات مكونات محتملة) بالإضافة إلى كيانها القانوني الخاص. يسمى الكيان القانوني للحكومة الحكومة الأولية. الكيان المبلِّغ وفقاً لتدوين </w:t>
      </w:r>
      <w:r w:rsidRPr="006D488F">
        <w:rPr>
          <w:rFonts w:ascii="inherit" w:eastAsia="Times New Roman" w:hAnsi="inherit" w:cs="Segoe UI"/>
          <w:color w:val="FFFFFF"/>
          <w:sz w:val="23"/>
          <w:szCs w:val="23"/>
        </w:rPr>
        <w:t>GASB</w:t>
      </w:r>
      <w:r w:rsidRPr="006D488F">
        <w:rPr>
          <w:rFonts w:ascii="inherit" w:eastAsia="Times New Roman" w:hAnsi="inherit" w:cs="Segoe UI"/>
          <w:color w:val="FFFFFF"/>
          <w:sz w:val="23"/>
          <w:szCs w:val="23"/>
          <w:rtl/>
        </w:rPr>
        <w:t xml:space="preserve"> ، فإن كل وحدة للأغراض العامة في </w:t>
      </w:r>
      <w:r w:rsidRPr="006D488F">
        <w:rPr>
          <w:rFonts w:ascii="inherit" w:eastAsia="Times New Roman" w:hAnsi="inherit" w:cs="Segoe UI"/>
          <w:color w:val="FFFFFF"/>
          <w:sz w:val="23"/>
          <w:szCs w:val="23"/>
        </w:rPr>
        <w:t>gareument</w:t>
      </w:r>
      <w:r w:rsidRPr="006D488F">
        <w:rPr>
          <w:rFonts w:ascii="inherit" w:eastAsia="Times New Roman" w:hAnsi="inherit" w:cs="Segoe UI"/>
          <w:color w:val="FFFFFF"/>
          <w:sz w:val="23"/>
          <w:szCs w:val="23"/>
          <w:rtl/>
        </w:rPr>
        <w:t xml:space="preserve"> تعريف هي ، أو الولاية ، أو المقاطعة ، أو المدينة ، وما إلى ذلك - هي حكومة أساسية. غرض خاص</w:t>
      </w:r>
    </w:p>
    <w:p w:rsidR="006D488F" w:rsidRPr="006D488F" w:rsidRDefault="006D488F" w:rsidP="006D488F">
      <w:pPr>
        <w:shd w:val="clear" w:color="auto" w:fill="0084FF"/>
        <w:spacing w:line="240" w:lineRule="auto"/>
        <w:rPr>
          <w:rFonts w:ascii="inherit" w:eastAsia="Times New Roman" w:hAnsi="inherit" w:cs="Segoe UI"/>
          <w:color w:val="FFFFFF"/>
          <w:sz w:val="23"/>
          <w:szCs w:val="23"/>
        </w:rPr>
      </w:pPr>
      <w:r w:rsidRPr="006D488F">
        <w:rPr>
          <w:rFonts w:ascii="inherit" w:eastAsia="Times New Roman" w:hAnsi="inherit" w:cs="Segoe UI"/>
          <w:color w:val="FFFFFF"/>
          <w:sz w:val="23"/>
          <w:szCs w:val="23"/>
          <w:rtl/>
        </w:rPr>
        <w:t xml:space="preserve">المعرفة كجزء من تلك الحكومة الأولية. لا يمكن أبداً الإبلاغ عن الكيان الذي هو حكومة أساسية كوحدة مكونة لأي كيان آخر. بعض المنظمات الحكومية لا تفي بتعريف الحكومة الأولية ، وعلى الرغم من أنها منفصلة من الناحية القانونية ، فهي ليست في الحكومات الأساسية بحد ذاتها. يتم الإبلاغ عن بعض هذه الحكومات كوحدات تابعة لحكومات أخرى. ومع ذلك ، فإنها تحدد تقاريرها المالية الخارجية الخاصة بها ، وتعرّف وحداتها في التقارير وتدمج الوحدات المكونة لها في حساباتها كمركّبات أساسية ، كما لو كانت مكوّنات أساسية هي عادةً كيانات حكومية أخرى ، ولكن قد تكون المنظمات غير الهادفة للربح أو الكيانات التجارية. يجب على الحكومة الأولية الإبلاغ عن منظمات منفصلة قانونًا كوحدات مكونة في المخبأ للظروف التالية * تكون الحكومة الأولية خاضعة للمساءلة المالية للكيان الآخر. تمتلك الحكومة الأولية أغلبية الأسهم فيما بينها في الكيان الآخر للرأسمالية. والكيان الآخر هو منظمة خاسرة التراكم التي تتعامل مع ميزانيتها المالية المستمرة. الفشل في تضمين المنظمة كمكوِّن </w:t>
      </w:r>
      <w:r w:rsidRPr="006D488F">
        <w:rPr>
          <w:rFonts w:ascii="inherit" w:eastAsia="Times New Roman" w:hAnsi="inherit" w:cs="Segoe UI"/>
          <w:color w:val="FFFFFF"/>
          <w:sz w:val="23"/>
          <w:szCs w:val="23"/>
        </w:rPr>
        <w:t>unil</w:t>
      </w:r>
      <w:r w:rsidRPr="006D488F">
        <w:rPr>
          <w:rFonts w:ascii="inherit" w:eastAsia="Times New Roman" w:hAnsi="inherit" w:cs="Segoe UI"/>
          <w:color w:val="FFFFFF"/>
          <w:sz w:val="23"/>
          <w:szCs w:val="23"/>
          <w:rtl/>
        </w:rPr>
        <w:t xml:space="preserve"> من شأنه أن يجعل من العوامل البيئية الأولية التي تسهل تقديم الخدمات الحكومية أمرًا ضمنيًا ، حيث أن البيانات المالية الصادرة عن أحد عناصر المكونين تضلل المسئولية المالية هي أوسع وأوسعها</w:t>
      </w:r>
    </w:p>
    <w:p w:rsidR="006D488F" w:rsidRPr="006D488F" w:rsidRDefault="006D488F" w:rsidP="006D488F">
      <w:pPr>
        <w:shd w:val="clear" w:color="auto" w:fill="0084FF"/>
        <w:spacing w:line="240" w:lineRule="auto"/>
        <w:rPr>
          <w:rFonts w:ascii="inherit" w:eastAsia="Times New Roman" w:hAnsi="inherit" w:cs="Segoe UI"/>
          <w:color w:val="FFFFFF"/>
          <w:sz w:val="23"/>
          <w:szCs w:val="23"/>
        </w:rPr>
      </w:pPr>
      <w:r w:rsidRPr="006D488F">
        <w:rPr>
          <w:rFonts w:ascii="inherit" w:eastAsia="Times New Roman" w:hAnsi="inherit" w:cs="Segoe UI"/>
          <w:color w:val="FFFFFF"/>
          <w:sz w:val="23"/>
          <w:szCs w:val="23"/>
          <w:rtl/>
        </w:rPr>
        <w:lastRenderedPageBreak/>
        <w:t xml:space="preserve">سلطة البناء </w:t>
      </w:r>
      <w:r w:rsidRPr="006D488F">
        <w:rPr>
          <w:rFonts w:ascii="inherit" w:eastAsia="Times New Roman" w:hAnsi="inherit" w:cs="Segoe UI"/>
          <w:color w:val="FFFFFF"/>
          <w:sz w:val="23"/>
          <w:szCs w:val="23"/>
        </w:rPr>
        <w:t xml:space="preserve">Lubburg 1. </w:t>
      </w:r>
      <w:r w:rsidRPr="006D488F">
        <w:rPr>
          <w:rFonts w:ascii="inherit" w:eastAsia="Times New Roman" w:hAnsi="inherit" w:cs="Segoe UI"/>
          <w:color w:val="FFFFFF"/>
          <w:sz w:val="23"/>
          <w:szCs w:val="23"/>
          <w:rtl/>
        </w:rPr>
        <w:t>يتم تعيين السلطة الحاكمة من قبل 2. تم إنشاء سلطة لتمويل رئيس البلدية. بناء المركز المدني ، الذي يتم تأجيره إلى القطيع</w:t>
      </w:r>
    </w:p>
    <w:p w:rsidR="006D488F" w:rsidRPr="006D488F" w:rsidRDefault="006D488F" w:rsidP="006D488F">
      <w:pPr>
        <w:shd w:val="clear" w:color="auto" w:fill="0084FF"/>
        <w:bidi w:val="0"/>
        <w:spacing w:line="240" w:lineRule="auto"/>
        <w:rPr>
          <w:rFonts w:ascii="inherit" w:eastAsia="Times New Roman" w:hAnsi="inherit" w:cs="Segoe UI"/>
          <w:color w:val="FFFFFF"/>
          <w:sz w:val="23"/>
          <w:szCs w:val="23"/>
        </w:rPr>
      </w:pPr>
      <w:r w:rsidRPr="006D488F">
        <w:rPr>
          <w:rFonts w:ascii="inherit" w:eastAsia="Times New Roman" w:hAnsi="inherit" w:cs="Segoe UI"/>
          <w:color w:val="FFFFFF"/>
          <w:sz w:val="23"/>
          <w:szCs w:val="23"/>
        </w:rPr>
        <w:t xml:space="preserve">Lubburg Builiding Authority 1. </w:t>
      </w:r>
      <w:r w:rsidRPr="006D488F">
        <w:rPr>
          <w:rFonts w:ascii="inherit" w:eastAsia="Times New Roman" w:hAnsi="inherit" w:cs="Segoe UI"/>
          <w:color w:val="FFFFFF"/>
          <w:sz w:val="23"/>
          <w:szCs w:val="23"/>
          <w:rtl/>
        </w:rPr>
        <w:t>يتم تعيين السلطة الحاكمة من قبل 2. تأسس</w:t>
      </w:r>
      <w:r w:rsidRPr="006D488F">
        <w:rPr>
          <w:rFonts w:ascii="inherit" w:eastAsia="Times New Roman" w:hAnsi="inherit" w:cs="Segoe UI"/>
          <w:color w:val="FFFFFF"/>
          <w:sz w:val="23"/>
          <w:szCs w:val="23"/>
        </w:rPr>
        <w:t xml:space="preserve"> Authorlty </w:t>
      </w:r>
      <w:r w:rsidRPr="006D488F">
        <w:rPr>
          <w:rFonts w:ascii="inherit" w:eastAsia="Times New Roman" w:hAnsi="inherit" w:cs="Segoe UI"/>
          <w:color w:val="FFFFFF"/>
          <w:sz w:val="23"/>
          <w:szCs w:val="23"/>
          <w:rtl/>
        </w:rPr>
        <w:t>لتمويل رئيس البلدية. بناء المركز المدني ، الذي يتم تأجيره إلى القطيع</w:t>
      </w:r>
      <w:r w:rsidRPr="006D488F">
        <w:rPr>
          <w:rFonts w:ascii="inherit" w:eastAsia="Times New Roman" w:hAnsi="inherit" w:cs="Segoe UI"/>
          <w:color w:val="FFFFFF"/>
          <w:sz w:val="23"/>
          <w:szCs w:val="23"/>
        </w:rPr>
        <w:t xml:space="preserve">. Lubburg Transit Authorily 1. </w:t>
      </w:r>
      <w:r w:rsidRPr="006D488F">
        <w:rPr>
          <w:rFonts w:ascii="inherit" w:eastAsia="Times New Roman" w:hAnsi="inherit" w:cs="Segoe UI"/>
          <w:color w:val="FFFFFF"/>
          <w:sz w:val="23"/>
          <w:szCs w:val="23"/>
          <w:rtl/>
        </w:rPr>
        <w:t>يتم تعيين السلطة الحاكمة من قبل 2. سلطة المرور العابر تخدم في البداية 3. المدينة لا توافق على ترانزيت العمدة ، في مجلس المدينة</w:t>
      </w:r>
      <w:r w:rsidRPr="006D488F">
        <w:rPr>
          <w:rFonts w:ascii="inherit" w:eastAsia="Times New Roman" w:hAnsi="inherit" w:cs="Segoe UI"/>
          <w:color w:val="FFFFFF"/>
          <w:sz w:val="23"/>
          <w:szCs w:val="23"/>
        </w:rPr>
        <w:t xml:space="preserve"> approvai </w:t>
      </w:r>
      <w:r w:rsidRPr="006D488F">
        <w:rPr>
          <w:rFonts w:ascii="inherit" w:eastAsia="Times New Roman" w:hAnsi="inherit" w:cs="Segoe UI"/>
          <w:color w:val="FFFFFF"/>
          <w:sz w:val="23"/>
          <w:szCs w:val="23"/>
          <w:rtl/>
        </w:rPr>
        <w:t>، لمدة 5 سنوات متداخلة. منطقة لوبورغ. ميزانية السلطة وليست مسؤولة عن عجزها أو ديونها ولكنها توفر في بعض الأحيان إعانات تشغي</w:t>
      </w:r>
    </w:p>
    <w:p w:rsidR="006D488F" w:rsidRPr="006D488F" w:rsidRDefault="006D488F" w:rsidP="006D488F">
      <w:pPr>
        <w:shd w:val="clear" w:color="auto" w:fill="0084FF"/>
        <w:spacing w:line="240" w:lineRule="auto"/>
        <w:rPr>
          <w:rFonts w:ascii="inherit" w:eastAsia="Times New Roman" w:hAnsi="inherit" w:cs="Segoe UI"/>
          <w:color w:val="FFFFFF"/>
          <w:sz w:val="23"/>
          <w:szCs w:val="23"/>
        </w:rPr>
      </w:pPr>
      <w:r w:rsidRPr="006D488F">
        <w:rPr>
          <w:rFonts w:ascii="inherit" w:eastAsia="Times New Roman" w:hAnsi="inherit" w:cs="Segoe UI"/>
          <w:color w:val="FFFFFF"/>
          <w:sz w:val="23"/>
          <w:szCs w:val="23"/>
          <w:rtl/>
        </w:rPr>
        <w:t xml:space="preserve">اﻟﻣﺳﺎءﻟﺔ اﻟﻣﺎﻟﯾﺔ ﺗﺣدد أرﺑﻌﺔ ﻣﻌﺎﯾﯾر (أو أرﺑﻌﺔ أﻧواع ﻣن اﻟﻌﻼﻗﺎت) ﻓﻲ ﺗﺣدﯾد ﻣﺎ إذا ﮐﺎﻧت اﻟﺣﮐوﻣﺔ اﻷوﻟﯾﺔ ﻣﺳؤوﻟﺔ ﻣﺎﻟﯾﺎً ﻋن ﻣؤﺳﺳﺔ أﺧرى وﺑﺎﻟﺗﺎﻟﻲ ﯾﺟب أن ﺗﺷﻣل ذﻟك ﮐوﺣدة ﻣﮐوﻧﺔ. هذه المعايير هي (1) سلطة التعيين ، (2) علاقات المنفعة أو العبء المالي ، (3) قدرة الحكومة الأولية على فرض إرادتها على الكيان الآخر و (4) ما إذا كان الكيان الآخر يعتمد مالياً على الحكومة الأولية . يشير وجود أي من ثلاث مجموعات من هذه المعايير إلى أن النظام الأساسي هو مؤسسة خاضعة للمساءلة المالية. المجموعات التي تشير إلى المساءلة المالية هي:) </w:t>
      </w:r>
      <w:r w:rsidRPr="006D488F">
        <w:rPr>
          <w:rFonts w:ascii="inherit" w:eastAsia="Times New Roman" w:hAnsi="inherit" w:cs="Segoe UI"/>
          <w:color w:val="FFFFFF"/>
          <w:sz w:val="23"/>
          <w:szCs w:val="23"/>
        </w:rPr>
        <w:t xml:space="preserve">Appolntmemt Authorelya) </w:t>
      </w:r>
      <w:r w:rsidRPr="006D488F">
        <w:rPr>
          <w:rFonts w:ascii="inherit" w:eastAsia="Times New Roman" w:hAnsi="inherit" w:cs="Segoe UI"/>
          <w:color w:val="FFFFFF"/>
          <w:sz w:val="23"/>
          <w:szCs w:val="23"/>
          <w:rtl/>
        </w:rPr>
        <w:t xml:space="preserve">تعيين </w:t>
      </w:r>
      <w:r w:rsidRPr="006D488F">
        <w:rPr>
          <w:rFonts w:ascii="inherit" w:eastAsia="Times New Roman" w:hAnsi="inherit" w:cs="Segoe UI"/>
          <w:color w:val="FFFFFF"/>
          <w:sz w:val="23"/>
          <w:szCs w:val="23"/>
        </w:rPr>
        <w:t xml:space="preserve">Authorlty (4) </w:t>
      </w:r>
      <w:r w:rsidRPr="006D488F">
        <w:rPr>
          <w:rFonts w:ascii="inherit" w:eastAsia="Times New Roman" w:hAnsi="inherit" w:cs="Segoe UI"/>
          <w:color w:val="FFFFFF"/>
          <w:sz w:val="23"/>
          <w:szCs w:val="23"/>
          <w:rtl/>
        </w:rPr>
        <w:t xml:space="preserve">الإعتماد على </w:t>
      </w:r>
      <w:r w:rsidRPr="006D488F">
        <w:rPr>
          <w:rFonts w:ascii="inherit" w:eastAsia="Times New Roman" w:hAnsi="inherit" w:cs="Segoe UI"/>
          <w:color w:val="FFFFFF"/>
          <w:sz w:val="23"/>
          <w:szCs w:val="23"/>
        </w:rPr>
        <w:t xml:space="preserve">Flscal (3) </w:t>
      </w:r>
      <w:r w:rsidRPr="006D488F">
        <w:rPr>
          <w:rFonts w:ascii="inherit" w:eastAsia="Times New Roman" w:hAnsi="inherit" w:cs="Segoe UI"/>
          <w:color w:val="FFFFFF"/>
          <w:sz w:val="23"/>
          <w:szCs w:val="23"/>
          <w:rtl/>
        </w:rPr>
        <w:t xml:space="preserve">القدرة على فرض (أ) </w:t>
      </w:r>
      <w:r w:rsidRPr="006D488F">
        <w:rPr>
          <w:rFonts w:ascii="inherit" w:eastAsia="Times New Roman" w:hAnsi="inherit" w:cs="Segoe UI"/>
          <w:color w:val="FFFFFF"/>
          <w:sz w:val="23"/>
          <w:szCs w:val="23"/>
        </w:rPr>
        <w:t>Fndal Bendli</w:t>
      </w:r>
      <w:r w:rsidRPr="006D488F">
        <w:rPr>
          <w:rFonts w:ascii="inherit" w:eastAsia="Times New Roman" w:hAnsi="inherit" w:cs="Segoe UI"/>
          <w:color w:val="FFFFFF"/>
          <w:sz w:val="23"/>
          <w:szCs w:val="23"/>
          <w:rtl/>
        </w:rPr>
        <w:t xml:space="preserve"> أو العبء. </w:t>
      </w:r>
      <w:r w:rsidRPr="006D488F">
        <w:rPr>
          <w:rFonts w:ascii="inherit" w:eastAsia="Times New Roman" w:hAnsi="inherit" w:cs="Segoe UI"/>
          <w:color w:val="FFFFFF"/>
          <w:sz w:val="23"/>
          <w:szCs w:val="23"/>
        </w:rPr>
        <w:t>Finandal Beneft</w:t>
      </w:r>
      <w:r w:rsidRPr="006D488F">
        <w:rPr>
          <w:rFonts w:ascii="inherit" w:eastAsia="Times New Roman" w:hAnsi="inherit" w:cs="Segoe UI"/>
          <w:color w:val="FFFFFF"/>
          <w:sz w:val="23"/>
          <w:szCs w:val="23"/>
          <w:rtl/>
        </w:rPr>
        <w:t xml:space="preserve"> أو عبء. (1) سلطة التعيينات المالية. استوفى (1) إذا أنشأت الحكومة الأولية (</w:t>
      </w:r>
      <w:r w:rsidRPr="006D488F">
        <w:rPr>
          <w:rFonts w:ascii="inherit" w:eastAsia="Times New Roman" w:hAnsi="inherit" w:cs="Segoe UI"/>
          <w:color w:val="FFFFFF"/>
          <w:sz w:val="23"/>
          <w:szCs w:val="23"/>
        </w:rPr>
        <w:t xml:space="preserve">PG) </w:t>
      </w:r>
      <w:r w:rsidRPr="006D488F">
        <w:rPr>
          <w:rFonts w:ascii="inherit" w:eastAsia="Times New Roman" w:hAnsi="inherit" w:cs="Segoe UI"/>
          <w:color w:val="FFFFFF"/>
          <w:sz w:val="23"/>
          <w:szCs w:val="23"/>
          <w:rtl/>
        </w:rPr>
        <w:t xml:space="preserve">وألغيت من جانب واحد الكيان الآخر أو (2) إذا كان </w:t>
      </w:r>
      <w:r w:rsidRPr="006D488F">
        <w:rPr>
          <w:rFonts w:ascii="inherit" w:eastAsia="Times New Roman" w:hAnsi="inherit" w:cs="Segoe UI"/>
          <w:color w:val="FFFFFF"/>
          <w:sz w:val="23"/>
          <w:szCs w:val="23"/>
        </w:rPr>
        <w:t>PG</w:t>
      </w:r>
      <w:r w:rsidRPr="006D488F">
        <w:rPr>
          <w:rFonts w:ascii="inherit" w:eastAsia="Times New Roman" w:hAnsi="inherit" w:cs="Segoe UI"/>
          <w:color w:val="FFFFFF"/>
          <w:sz w:val="23"/>
          <w:szCs w:val="23"/>
          <w:rtl/>
        </w:rPr>
        <w:t xml:space="preserve"> يعين أغلبية تصويت في الهيئة الحاكمة للكيان. تشمل تعيينات </w:t>
      </w:r>
      <w:r w:rsidRPr="006D488F">
        <w:rPr>
          <w:rFonts w:ascii="inherit" w:eastAsia="Times New Roman" w:hAnsi="inherit" w:cs="Segoe UI"/>
          <w:color w:val="FFFFFF"/>
          <w:sz w:val="23"/>
          <w:szCs w:val="23"/>
        </w:rPr>
        <w:t>PG</w:t>
      </w:r>
      <w:r w:rsidRPr="006D488F">
        <w:rPr>
          <w:rFonts w:ascii="inherit" w:eastAsia="Times New Roman" w:hAnsi="inherit" w:cs="Segoe UI"/>
          <w:color w:val="FFFFFF"/>
          <w:sz w:val="23"/>
          <w:szCs w:val="23"/>
          <w:rtl/>
        </w:rPr>
        <w:t xml:space="preserve"> كلا من (أ) أعضاء مجلس الإدارة الحكومية </w:t>
      </w:r>
      <w:r w:rsidRPr="006D488F">
        <w:rPr>
          <w:rFonts w:ascii="inherit" w:eastAsia="Times New Roman" w:hAnsi="inherit" w:cs="Segoe UI"/>
          <w:color w:val="FFFFFF"/>
          <w:sz w:val="23"/>
          <w:szCs w:val="23"/>
        </w:rPr>
        <w:t>PG</w:t>
      </w:r>
      <w:r w:rsidRPr="006D488F">
        <w:rPr>
          <w:rFonts w:ascii="inherit" w:eastAsia="Times New Roman" w:hAnsi="inherit" w:cs="Segoe UI"/>
          <w:color w:val="FFFFFF"/>
          <w:sz w:val="23"/>
          <w:szCs w:val="23"/>
          <w:rtl/>
        </w:rPr>
        <w:t xml:space="preserve"> أو المسؤولين الذين يخدمون في مجلس وحدة المكونات المحتملة بحكم منصبه - بسبب وضعهم مع </w:t>
      </w:r>
      <w:r w:rsidRPr="006D488F">
        <w:rPr>
          <w:rFonts w:ascii="inherit" w:eastAsia="Times New Roman" w:hAnsi="inherit" w:cs="Segoe UI"/>
          <w:color w:val="FFFFFF"/>
          <w:sz w:val="23"/>
          <w:szCs w:val="23"/>
        </w:rPr>
        <w:t>PG-P</w:t>
      </w:r>
      <w:r w:rsidRPr="006D488F">
        <w:rPr>
          <w:rFonts w:ascii="inherit" w:eastAsia="Times New Roman" w:hAnsi="inherit" w:cs="Segoe UI"/>
          <w:color w:val="FFFFFF"/>
          <w:sz w:val="23"/>
          <w:szCs w:val="23"/>
          <w:rtl/>
        </w:rPr>
        <w:t xml:space="preserve"> و (</w:t>
      </w:r>
      <w:r w:rsidRPr="006D488F">
        <w:rPr>
          <w:rFonts w:ascii="inherit" w:eastAsia="Times New Roman" w:hAnsi="inherit" w:cs="Segoe UI"/>
          <w:color w:val="FFFFFF"/>
          <w:sz w:val="23"/>
          <w:szCs w:val="23"/>
        </w:rPr>
        <w:t xml:space="preserve">b) </w:t>
      </w:r>
      <w:r w:rsidRPr="006D488F">
        <w:rPr>
          <w:rFonts w:ascii="inherit" w:eastAsia="Times New Roman" w:hAnsi="inherit" w:cs="Segoe UI"/>
          <w:color w:val="FFFFFF"/>
          <w:sz w:val="23"/>
          <w:szCs w:val="23"/>
          <w:rtl/>
        </w:rPr>
        <w:t xml:space="preserve">وحدة أعضاء أعضاء مجلس الإدارة الذين تم تعيينهم إما من قبل </w:t>
      </w:r>
      <w:r w:rsidRPr="006D488F">
        <w:rPr>
          <w:rFonts w:ascii="inherit" w:eastAsia="Times New Roman" w:hAnsi="inherit" w:cs="Segoe UI"/>
          <w:color w:val="FFFFFF"/>
          <w:sz w:val="23"/>
          <w:szCs w:val="23"/>
        </w:rPr>
        <w:t>PG board</w:t>
      </w:r>
      <w:r w:rsidRPr="006D488F">
        <w:rPr>
          <w:rFonts w:ascii="inherit" w:eastAsia="Times New Roman" w:hAnsi="inherit" w:cs="Segoe UI"/>
          <w:color w:val="FFFFFF"/>
          <w:sz w:val="23"/>
          <w:szCs w:val="23"/>
          <w:rtl/>
        </w:rPr>
        <w:t xml:space="preserve"> أو أي </w:t>
      </w:r>
      <w:r w:rsidRPr="006D488F">
        <w:rPr>
          <w:rFonts w:ascii="inherit" w:eastAsia="Times New Roman" w:hAnsi="inherit" w:cs="Segoe UI"/>
          <w:color w:val="FFFFFF"/>
          <w:sz w:val="23"/>
          <w:szCs w:val="23"/>
        </w:rPr>
        <w:t>PG</w:t>
      </w:r>
      <w:r w:rsidRPr="006D488F">
        <w:rPr>
          <w:rFonts w:ascii="inherit" w:eastAsia="Times New Roman" w:hAnsi="inherit" w:cs="Segoe UI"/>
          <w:color w:val="FFFFFF"/>
          <w:sz w:val="23"/>
          <w:szCs w:val="23"/>
          <w:rtl/>
        </w:rPr>
        <w:t xml:space="preserve"> مسؤول أو مجلس إدارة بصفتهم مع أي مجلس وحدة أو مسؤول ، أو أي شخص آخر معين من </w:t>
      </w:r>
      <w:r w:rsidRPr="006D488F">
        <w:rPr>
          <w:rFonts w:ascii="inherit" w:eastAsia="Times New Roman" w:hAnsi="inherit" w:cs="Segoe UI"/>
          <w:color w:val="FFFFFF"/>
          <w:sz w:val="23"/>
          <w:szCs w:val="23"/>
        </w:rPr>
        <w:t xml:space="preserve">PG. 2) </w:t>
      </w:r>
      <w:r w:rsidRPr="006D488F">
        <w:rPr>
          <w:rFonts w:ascii="inherit" w:eastAsia="Times New Roman" w:hAnsi="inherit" w:cs="Segoe UI"/>
          <w:color w:val="FFFFFF"/>
          <w:sz w:val="23"/>
          <w:szCs w:val="23"/>
          <w:rtl/>
        </w:rPr>
        <w:t xml:space="preserve">الفوائد المالية أو العلاقات المتعلقة بالعبء لدى </w:t>
      </w:r>
      <w:r w:rsidRPr="006D488F">
        <w:rPr>
          <w:rFonts w:ascii="inherit" w:eastAsia="Times New Roman" w:hAnsi="inherit" w:cs="Segoe UI"/>
          <w:color w:val="FFFFFF"/>
          <w:sz w:val="23"/>
          <w:szCs w:val="23"/>
        </w:rPr>
        <w:t>PG</w:t>
      </w:r>
      <w:r w:rsidRPr="006D488F">
        <w:rPr>
          <w:rFonts w:ascii="inherit" w:eastAsia="Times New Roman" w:hAnsi="inherit" w:cs="Segoe UI"/>
          <w:color w:val="FFFFFF"/>
          <w:sz w:val="23"/>
          <w:szCs w:val="23"/>
          <w:rtl/>
        </w:rPr>
        <w:t xml:space="preserve"> علاقة مردود أو عبء مالي لوحدة مكون محتملة إذا كان أحد ما يلي صحيحًا: </w:t>
      </w:r>
      <w:r w:rsidRPr="006D488F">
        <w:rPr>
          <w:rFonts w:ascii="inherit" w:eastAsia="Times New Roman" w:hAnsi="inherit" w:cs="Segoe UI"/>
          <w:color w:val="FFFFFF"/>
          <w:sz w:val="23"/>
          <w:szCs w:val="23"/>
        </w:rPr>
        <w:t>PG</w:t>
      </w:r>
      <w:r w:rsidRPr="006D488F">
        <w:rPr>
          <w:rFonts w:ascii="inherit" w:eastAsia="Times New Roman" w:hAnsi="inherit" w:cs="Segoe UI"/>
          <w:color w:val="FFFFFF"/>
          <w:sz w:val="23"/>
          <w:szCs w:val="23"/>
          <w:rtl/>
        </w:rPr>
        <w:t xml:space="preserve"> لديه القدرة على الوصول إلى موارد الكيان دون حل الكيان ، أو </w:t>
      </w:r>
      <w:r w:rsidRPr="006D488F">
        <w:rPr>
          <w:rFonts w:ascii="inherit" w:eastAsia="Times New Roman" w:hAnsi="inherit" w:cs="Segoe UI"/>
          <w:color w:val="FFFFFF"/>
          <w:sz w:val="23"/>
          <w:szCs w:val="23"/>
        </w:rPr>
        <w:t>PG</w:t>
      </w:r>
      <w:r w:rsidRPr="006D488F">
        <w:rPr>
          <w:rFonts w:ascii="inherit" w:eastAsia="Times New Roman" w:hAnsi="inherit" w:cs="Segoe UI"/>
          <w:color w:val="FFFFFF"/>
          <w:sz w:val="23"/>
          <w:szCs w:val="23"/>
          <w:rtl/>
        </w:rPr>
        <w:t xml:space="preserve"> هو قانونيا أو غير ذلك أو تقديم التمويل. الدعم (بخلاف المعاملات التبادلية أو التبادلية) إلى المنظمة ، أو </w:t>
      </w:r>
      <w:r w:rsidRPr="006D488F">
        <w:rPr>
          <w:rFonts w:ascii="inherit" w:eastAsia="Times New Roman" w:hAnsi="inherit" w:cs="Segoe UI"/>
          <w:color w:val="FFFFFF"/>
          <w:sz w:val="23"/>
          <w:szCs w:val="23"/>
        </w:rPr>
        <w:t>PG</w:t>
      </w:r>
      <w:r w:rsidRPr="006D488F">
        <w:rPr>
          <w:rFonts w:ascii="inherit" w:eastAsia="Times New Roman" w:hAnsi="inherit" w:cs="Segoe UI"/>
          <w:color w:val="FFFFFF"/>
          <w:sz w:val="23"/>
          <w:szCs w:val="23"/>
          <w:rtl/>
        </w:rPr>
        <w:t xml:space="preserve"> ملزمة بطريقة ما بديون المؤسسة 3) القدرة على فرض الالتزامات سوف تكون الحكومة الأولية لديها القدرة على فرض إرادتها (أي اﻟﺘﺄﺛﻴﺮ ﻋﻠﻰ أﻧﻮاع اﻟﻤﺴﺘﻮﻳﺎت وﻣﺴﺘﻮﻳﺎﺗﻬﺎ) ﻋﻠﻰ وﺣﺪة ﻣﻜﻮﻧﺔ ﻣﺤﺘﻤﻠﺔ إذا آﺎﻧﺖ ﻟﻠﺤﻜﻮﻣﺔ اﻷوﻟﻴﺔ اﻟﺴﻠﻄﺔ اﻟﻔﺮﻋﻴﺔ ﻟﻠﻘﻴﺎم ﺑﻜﻞ ﻣﺎ ﻳﻠﻲ إزالة أعضاء مجلس الإدارة المعينين في الإرادة ، أو "الموافقة على أو تعديل ميزانية المنظمة ، أو الموافقة أو المطالبة بتعديل التغييرات في السعر أو الرسوم التي تؤثر على مراجعة المنظمة ، أو حق النقض ، نقض ، أو تعديل قرارات هيئة الإدارة الأخرى ، أو تعيين أو تعيين أو إعادة تعيين أو رفض إدارة المؤسسة ، أو اتخاذ إجراءات أخرى تشير إلى قدرتها على فرض إرادتها على المنظمة. (4) الإعتماد المالي (</w:t>
      </w:r>
      <w:r w:rsidRPr="006D488F">
        <w:rPr>
          <w:rFonts w:ascii="inherit" w:eastAsia="Times New Roman" w:hAnsi="inherit" w:cs="Segoe UI"/>
          <w:color w:val="FFFFFF"/>
          <w:sz w:val="23"/>
          <w:szCs w:val="23"/>
        </w:rPr>
        <w:t xml:space="preserve">FISCAL DEPENDENCE) </w:t>
      </w:r>
      <w:r w:rsidRPr="006D488F">
        <w:rPr>
          <w:rFonts w:ascii="inherit" w:eastAsia="Times New Roman" w:hAnsi="inherit" w:cs="Segoe UI"/>
          <w:color w:val="FFFFFF"/>
          <w:sz w:val="23"/>
          <w:szCs w:val="23"/>
          <w:rtl/>
        </w:rPr>
        <w:t xml:space="preserve">تعتمد المنشأة مالياً على </w:t>
      </w:r>
      <w:r w:rsidRPr="006D488F">
        <w:rPr>
          <w:rFonts w:ascii="inherit" w:eastAsia="Times New Roman" w:hAnsi="inherit" w:cs="Segoe UI"/>
          <w:color w:val="FFFFFF"/>
          <w:sz w:val="23"/>
          <w:szCs w:val="23"/>
        </w:rPr>
        <w:t>PG</w:t>
      </w:r>
      <w:r w:rsidRPr="006D488F">
        <w:rPr>
          <w:rFonts w:ascii="inherit" w:eastAsia="Times New Roman" w:hAnsi="inherit" w:cs="Segoe UI"/>
          <w:color w:val="FFFFFF"/>
          <w:sz w:val="23"/>
          <w:szCs w:val="23"/>
          <w:rtl/>
        </w:rPr>
        <w:t xml:space="preserve"> إذا تطلبت موافقة </w:t>
      </w:r>
      <w:r w:rsidRPr="006D488F">
        <w:rPr>
          <w:rFonts w:ascii="inherit" w:eastAsia="Times New Roman" w:hAnsi="inherit" w:cs="Segoe UI"/>
          <w:color w:val="FFFFFF"/>
          <w:sz w:val="23"/>
          <w:szCs w:val="23"/>
        </w:rPr>
        <w:t>PG</w:t>
      </w:r>
      <w:r w:rsidRPr="006D488F">
        <w:rPr>
          <w:rFonts w:ascii="inherit" w:eastAsia="Times New Roman" w:hAnsi="inherit" w:cs="Segoe UI"/>
          <w:color w:val="FFFFFF"/>
          <w:sz w:val="23"/>
          <w:szCs w:val="23"/>
          <w:rtl/>
        </w:rPr>
        <w:t xml:space="preserve"> الفنية في أجل القيام بواحد (أو أكثر) مما يلي: قم بإعداد ميزانيته أو فرض ضرائب أو تحديد أسعار أو رسوم أخرى.</w:t>
      </w:r>
    </w:p>
    <w:p w:rsidR="006D488F" w:rsidRPr="004E25C9" w:rsidRDefault="006D488F" w:rsidP="004E25C9">
      <w:pPr>
        <w:shd w:val="clear" w:color="auto" w:fill="0084FF"/>
        <w:spacing w:line="240" w:lineRule="auto"/>
        <w:rPr>
          <w:rFonts w:ascii="inherit" w:eastAsia="Times New Roman" w:hAnsi="inherit" w:cs="Segoe UI"/>
          <w:color w:val="FFFFFF"/>
          <w:sz w:val="23"/>
          <w:szCs w:val="23"/>
          <w:rtl/>
          <w:lang w:bidi="ar-IQ"/>
        </w:rPr>
      </w:pPr>
      <w:r w:rsidRPr="006D488F">
        <w:rPr>
          <w:rFonts w:ascii="inherit" w:eastAsia="Times New Roman" w:hAnsi="inherit" w:cs="Segoe UI"/>
          <w:color w:val="FFFFFF"/>
          <w:sz w:val="23"/>
          <w:szCs w:val="23"/>
          <w:rtl/>
        </w:rPr>
        <w:t xml:space="preserve">تصنيف الوحدات المكونة إلى إعادة تنظيم القاعدة 617 استحقاق الثقل المالي والعبء المالي مع آخر إنريش قد يكون مطلوبًا من شركة </w:t>
      </w:r>
      <w:r w:rsidRPr="006D488F">
        <w:rPr>
          <w:rFonts w:ascii="inherit" w:eastAsia="Times New Roman" w:hAnsi="inherit" w:cs="Segoe UI"/>
          <w:color w:val="FFFFFF"/>
          <w:sz w:val="23"/>
          <w:szCs w:val="23"/>
        </w:rPr>
        <w:t>Rscalty</w:t>
      </w:r>
      <w:r w:rsidRPr="006D488F">
        <w:rPr>
          <w:rFonts w:ascii="inherit" w:eastAsia="Times New Roman" w:hAnsi="inherit" w:cs="Segoe UI"/>
          <w:color w:val="FFFFFF"/>
          <w:sz w:val="23"/>
          <w:szCs w:val="23"/>
          <w:rtl/>
        </w:rPr>
        <w:t xml:space="preserve"> ، أو عقد حصة الأغلبية في كيان آخر هو أمر مهم آخر هو </w:t>
      </w:r>
      <w:r w:rsidRPr="006D488F">
        <w:rPr>
          <w:rFonts w:ascii="inherit" w:eastAsia="Times New Roman" w:hAnsi="inherit" w:cs="Segoe UI"/>
          <w:color w:val="FFFFFF"/>
          <w:sz w:val="23"/>
          <w:szCs w:val="23"/>
        </w:rPr>
        <w:t>PCO (</w:t>
      </w:r>
      <w:r w:rsidRPr="006D488F">
        <w:rPr>
          <w:rFonts w:ascii="inherit" w:eastAsia="Times New Roman" w:hAnsi="inherit" w:cs="Segoe UI"/>
          <w:color w:val="FFFFFF"/>
          <w:sz w:val="23"/>
          <w:szCs w:val="23"/>
          <w:rtl/>
        </w:rPr>
        <w:t xml:space="preserve">كما هو موضح في الرسم التوضيحي) إذا لم يكن </w:t>
      </w:r>
      <w:r w:rsidRPr="006D488F">
        <w:rPr>
          <w:rFonts w:ascii="inherit" w:eastAsia="Times New Roman" w:hAnsi="inherit" w:cs="Segoe UI"/>
          <w:color w:val="FFFFFF"/>
          <w:sz w:val="23"/>
          <w:szCs w:val="23"/>
        </w:rPr>
        <w:t>PG</w:t>
      </w:r>
      <w:r w:rsidRPr="006D488F">
        <w:rPr>
          <w:rFonts w:ascii="inherit" w:eastAsia="Times New Roman" w:hAnsi="inherit" w:cs="Segoe UI"/>
          <w:color w:val="FFFFFF"/>
          <w:sz w:val="23"/>
          <w:szCs w:val="23"/>
          <w:rtl/>
        </w:rPr>
        <w:t xml:space="preserve"> المساءلة مالياً عن كيان آخر ، لا يزال يختار ، لمعالجة غيره من المحسنين كوحدات مكونة لأسباب أخرى تعريف الكيان. على الرغم من أنه من غير المعتاد أن تحظى الحكومة بحصة أغلبية الأسهم في الأعمال التجارية بغرض تسهيل تقديم خدمات </w:t>
      </w:r>
      <w:r w:rsidRPr="006D488F">
        <w:rPr>
          <w:rFonts w:ascii="inherit" w:eastAsia="Times New Roman" w:hAnsi="inherit" w:cs="Segoe UI"/>
          <w:color w:val="FFFFFF"/>
          <w:sz w:val="23"/>
          <w:szCs w:val="23"/>
        </w:rPr>
        <w:t>Rvasament ef</w:t>
      </w:r>
      <w:r w:rsidRPr="006D488F">
        <w:rPr>
          <w:rFonts w:ascii="inherit" w:eastAsia="Times New Roman" w:hAnsi="inherit" w:cs="Segoe UI"/>
          <w:color w:val="FFFFFF"/>
          <w:sz w:val="23"/>
          <w:szCs w:val="23"/>
          <w:rtl/>
        </w:rPr>
        <w:t xml:space="preserve"> ، إلا أنه من الشائع جدا الدخول في مشاريع مشتركة مع الحكومات والمطارات والمراكز الإصلاحية والحافلات والسكك الحديدية الأخرى. فالتنقل ، وملاجئ الحيوانات ، وأنشطة التنمية الاقتصادية ليست سوى عدد قليل من أنواع المشاريع المشتركة التي أجرتها الحكومات في جميع أنحاء البلاد. تحتفظ الحكومات بمصالح الأسهم في العديد من هذه المشاريع المشتركة. مشاريع مشتركة أخرى ، لا توجد مصالح الأسهم. حتى إذا كانت الحكومة الأساسية غير خاضعة للمساءلة المالية للمؤسسة ، فيجب أن تدرجها كوحدة مكتملة إذا كانت تمتلك حصة أغلبية في رأس المال لغرض تقديم الخدمات الحكومية. رقم 39 ، "المنظمات التابعة للكيانات المالية التقارير". تتطلب هذه الحالة معالجة الوحدة المكونة لأي كيان تابع ، منفصل قانونيًا ، معفى من الضرائب إذا كان كل ما يلي صحيحًا. الموارد الكيماوية للكيان التابع كليًا (أو بشكل شبه كامل) للجهة الحكومية المسؤولة عن إعداد التقارير الأولية أو لدائرتها الانتخابية. موارد </w:t>
      </w:r>
      <w:r w:rsidRPr="006D488F">
        <w:rPr>
          <w:rFonts w:ascii="inherit" w:eastAsia="Times New Roman" w:hAnsi="inherit" w:cs="Segoe UI"/>
          <w:color w:val="FFFFFF"/>
          <w:sz w:val="23"/>
          <w:szCs w:val="23"/>
        </w:rPr>
        <w:t xml:space="preserve">zation. </w:t>
      </w:r>
      <w:r w:rsidRPr="006D488F">
        <w:rPr>
          <w:rFonts w:ascii="inherit" w:eastAsia="Times New Roman" w:hAnsi="inherit" w:cs="Segoe UI"/>
          <w:color w:val="FFFFFF"/>
          <w:sz w:val="23"/>
          <w:szCs w:val="23"/>
          <w:rtl/>
        </w:rPr>
        <w:t xml:space="preserve">الجزء الذي يمكن الوصول إليه من الموارد له أهمية كبيرة بالنسبة للحكم الابتدائي. إن الأساس النهائي لمعاملة </w:t>
      </w:r>
      <w:r w:rsidRPr="006D488F">
        <w:rPr>
          <w:rFonts w:ascii="inherit" w:eastAsia="Times New Roman" w:hAnsi="inherit" w:cs="Segoe UI"/>
          <w:color w:val="FFFFFF"/>
          <w:sz w:val="23"/>
          <w:szCs w:val="23"/>
          <w:rtl/>
        </w:rPr>
        <w:lastRenderedPageBreak/>
        <w:t xml:space="preserve">المؤسسة كوحدة مكونة هو تجنب 1. إن الحكومة الرئيسية هي ((أو يمكن الوصول إليها بخلاف ذلك) أغلبية المنظمات التي تجعل البيانات المالية مضللة بحذف المنظمة. ﯾﺷﯾر اﻟﺑﯾﺎن رﻗم 61 إﻟﯽ أﻧﮫ إذا ﮐﺎﻧت اﻟﻣﻧظﻣﺔ ذات ﺻﻟﺔ وﺛﯾﻘﺔ أو ﻣدﻣﺟﺔ ﺗﻣﺎﻣًﺎ ﻣﻊ اﻟﺣﮐوﻣﺔ اﻷوﻟﯾﺔ ، ﯾﻧﺑﻐﻲ ﻋﻟﯽ اﻟﺣﮐوﻣﺔ اﻷوﻟﯾﺔ ﺗﻘﯾﯾم ﻣﺎ إذا ﮐﺎن ﻣن اﻟﻣﺿﻟل اﺳﺗﺑﻌﺎد اﻟﻣﻧظﻣﺔ ﻣن ﺟﮭﺔ ﺗﻘدﯾم اﻟﺗﻘﺎرﯾر اﻟﺧﺎﺻﺔ ﺑﮭﺎ. الإفصاحات الشاملة للكيانات المبلغة - بما في ذلك (1) الوحدات المكونة لهيئة إعداد التقارير التابعة لحكومة جهة الإعلام ، (2) المعايير المستخدمة لتحديد الوحدات المكوّنة لإفشاء الوحدات المحتملة التي يجب تضمينها ، و (3) المعلومات الأخرى ذات الصلة - مطلوبة في الملاحظات على البيانات المالية. على وجه التحديد ، تتطلب الإفصاحات التالية: 1. الوحدات المكونة في الكيان المبلِّغ. 2. الأساس المنطقي لإدراج كل وحدة مكون. &amp; معلومات حول ما إذا كانت كل وحدة مكون مخلوطة أو معروضة على نحو خفي أو مدرجة في البيانات المالية لصندوق الإئتمان ، توفر البيانات المنفصلة للمكون الفردي 4. دمج وحدات المكونات في الكيان الخاص بالإبلاغ. دمج معظم البيانات وحدة المكون في </w:t>
      </w:r>
      <w:r w:rsidRPr="006D488F">
        <w:rPr>
          <w:rFonts w:ascii="inherit" w:eastAsia="Times New Roman" w:hAnsi="inherit" w:cs="Segoe UI"/>
          <w:color w:val="FFFFFF"/>
          <w:sz w:val="23"/>
          <w:szCs w:val="23"/>
        </w:rPr>
        <w:t>CAFR</w:t>
      </w:r>
      <w:r w:rsidRPr="006D488F">
        <w:rPr>
          <w:rFonts w:ascii="inherit" w:eastAsia="Times New Roman" w:hAnsi="inherit" w:cs="Segoe UI"/>
          <w:color w:val="FFFFFF"/>
          <w:sz w:val="23"/>
          <w:szCs w:val="23"/>
          <w:rtl/>
        </w:rPr>
        <w:t xml:space="preserve"> الحكومة الأولية. مزج يعامل </w:t>
      </w:r>
      <w:r w:rsidRPr="006D488F">
        <w:rPr>
          <w:rFonts w:ascii="inherit" w:eastAsia="Times New Roman" w:hAnsi="inherit" w:cs="Segoe UI"/>
          <w:color w:val="FFFFFF"/>
          <w:sz w:val="23"/>
          <w:szCs w:val="23"/>
        </w:rPr>
        <w:t>nnite ramnent ae ane inteoral nart of the nrimaru anvernment and accentiallu</w:t>
      </w:r>
    </w:p>
    <w:p w:rsidR="006D488F" w:rsidRPr="004E25C9" w:rsidRDefault="006D488F" w:rsidP="004E25C9">
      <w:pPr>
        <w:shd w:val="clear" w:color="auto" w:fill="0084FF"/>
        <w:spacing w:line="240" w:lineRule="auto"/>
        <w:rPr>
          <w:rFonts w:ascii="inherit" w:eastAsia="Times New Roman" w:hAnsi="inherit" w:cs="Segoe UI"/>
          <w:color w:val="FFFFFF"/>
          <w:sz w:val="23"/>
          <w:szCs w:val="23"/>
          <w:rtl/>
          <w:lang w:bidi="ar-IQ"/>
        </w:rPr>
      </w:pPr>
      <w:r w:rsidRPr="006D488F">
        <w:rPr>
          <w:rFonts w:ascii="inherit" w:eastAsia="Times New Roman" w:hAnsi="inherit" w:cs="Segoe UI"/>
          <w:color w:val="FFFFFF"/>
          <w:sz w:val="23"/>
          <w:szCs w:val="23"/>
          <w:rtl/>
        </w:rPr>
        <w:t xml:space="preserve">تدرج أموال وأنشطة الوحدة المكونة كأموال حكومية أولية ووحدات مكونة من مكونات برنامج العمل في كل من بيانات الشركة على نطاق الحكومة وفي البيان المالي للصندوق. يقدم العرض التقديمي المنفصل معلومات الوحدة المكونة من البيانات المالية الأولية المقدمة من </w:t>
      </w:r>
      <w:r w:rsidRPr="006D488F">
        <w:rPr>
          <w:rFonts w:ascii="inherit" w:eastAsia="Times New Roman" w:hAnsi="inherit" w:cs="Segoe UI"/>
          <w:color w:val="FFFFFF"/>
          <w:sz w:val="23"/>
          <w:szCs w:val="23"/>
        </w:rPr>
        <w:t xml:space="preserve">Discretcly. </w:t>
      </w:r>
      <w:r w:rsidRPr="006D488F">
        <w:rPr>
          <w:rFonts w:ascii="inherit" w:eastAsia="Times New Roman" w:hAnsi="inherit" w:cs="Segoe UI"/>
          <w:color w:val="FFFFFF"/>
          <w:sz w:val="23"/>
          <w:szCs w:val="23"/>
          <w:rtl/>
        </w:rPr>
        <w:t xml:space="preserve">وأخيرًا ، تعد وحدات المكون الائتماني عمودًا مالئمًا للبيانات المالية الصادرة عن الصناديق االستئمانية ، وليست وحدات مكونات متضمنة بشكل أساسي في نطاق الحكومة على نطاق واسع في البيانات المالية للحكومة على مستوى الحكومة. يعتمد النهج المستخدم لكل وحدة مكون على </w:t>
      </w:r>
      <w:r w:rsidRPr="006D488F">
        <w:rPr>
          <w:rFonts w:ascii="inherit" w:eastAsia="Times New Roman" w:hAnsi="inherit" w:cs="Segoe UI"/>
          <w:color w:val="FFFFFF"/>
          <w:sz w:val="23"/>
          <w:szCs w:val="23"/>
        </w:rPr>
        <w:t>com blending i sed</w:t>
      </w:r>
      <w:r w:rsidRPr="006D488F">
        <w:rPr>
          <w:rFonts w:ascii="inherit" w:eastAsia="Times New Roman" w:hAnsi="inherit" w:cs="Segoe UI"/>
          <w:color w:val="FFFFFF"/>
          <w:sz w:val="23"/>
          <w:szCs w:val="23"/>
          <w:rtl/>
        </w:rPr>
        <w:t xml:space="preserve"> الوحدة الوحيدة يجب أن تكون وحدة </w:t>
      </w:r>
      <w:r w:rsidRPr="006D488F">
        <w:rPr>
          <w:rFonts w:ascii="inherit" w:eastAsia="Times New Roman" w:hAnsi="inherit" w:cs="Segoe UI"/>
          <w:color w:val="FFFFFF"/>
          <w:sz w:val="23"/>
          <w:szCs w:val="23"/>
        </w:rPr>
        <w:t>ponent</w:t>
      </w:r>
      <w:r w:rsidRPr="006D488F">
        <w:rPr>
          <w:rFonts w:ascii="inherit" w:eastAsia="Times New Roman" w:hAnsi="inherit" w:cs="Segoe UI"/>
          <w:color w:val="FFFFFF"/>
          <w:sz w:val="23"/>
          <w:szCs w:val="23"/>
          <w:rtl/>
        </w:rPr>
        <w:t xml:space="preserve"> في الجزء المضمون من الحكومة الأولية. تعتبر الوحدة المكونة جزءًا من الحكومة الأولية في جزء من الحكومة الأساسية الموضوعية ، حيث يكون العنصر أحد الخصائص التالية لديه بشكل قوي نفس الهيئة الدائمة كجهاز الإدارة الرئيسي لجوجروم وإما (أ) هناك المنفعة المالية أو العلاقة بين الموظفين (</w:t>
      </w:r>
      <w:r w:rsidRPr="006D488F">
        <w:rPr>
          <w:rFonts w:ascii="inherit" w:eastAsia="Times New Roman" w:hAnsi="inherit" w:cs="Segoe UI"/>
          <w:color w:val="FFFFFF"/>
          <w:sz w:val="23"/>
          <w:szCs w:val="23"/>
        </w:rPr>
        <w:t xml:space="preserve">barden relationshiphor) </w:t>
      </w:r>
      <w:r w:rsidRPr="006D488F">
        <w:rPr>
          <w:rFonts w:ascii="inherit" w:eastAsia="Times New Roman" w:hAnsi="inherit" w:cs="Segoe UI"/>
          <w:color w:val="FFFFFF"/>
          <w:sz w:val="23"/>
          <w:szCs w:val="23"/>
          <w:rtl/>
        </w:rPr>
        <w:t xml:space="preserve">إدارة إدارة المشتريات لديها صلاحية تنفيذية يومية للمكون </w:t>
      </w:r>
      <w:r w:rsidRPr="006D488F">
        <w:rPr>
          <w:rFonts w:ascii="inherit" w:eastAsia="Times New Roman" w:hAnsi="inherit" w:cs="Segoe UI"/>
          <w:color w:val="FFFFFF"/>
          <w:sz w:val="23"/>
          <w:szCs w:val="23"/>
        </w:rPr>
        <w:t>Sbtively hody</w:t>
      </w:r>
      <w:r w:rsidRPr="006D488F">
        <w:rPr>
          <w:rFonts w:ascii="inherit" w:eastAsia="Times New Roman" w:hAnsi="inherit" w:cs="Segoe UI"/>
          <w:color w:val="FFFFFF"/>
          <w:sz w:val="23"/>
          <w:szCs w:val="23"/>
          <w:rtl/>
        </w:rPr>
        <w:t xml:space="preserve"> تعني أن أقلية تصويت على الأقل من الجهاز الحكومي الرئيسي للحكومة تخدم على مكون في مجلس الإدارة وتغني على أغلبية تلك الوحدة المكونة حكم هودي. فهو يوفر التنقيحات فقط ، أو فوائد </w:t>
      </w:r>
      <w:r w:rsidRPr="006D488F">
        <w:rPr>
          <w:rFonts w:ascii="inherit" w:eastAsia="Times New Roman" w:hAnsi="inherit" w:cs="Segoe UI"/>
          <w:color w:val="FFFFFF"/>
          <w:sz w:val="23"/>
          <w:szCs w:val="23"/>
        </w:rPr>
        <w:t xml:space="preserve">ouly </w:t>
      </w:r>
      <w:r w:rsidRPr="006D488F">
        <w:rPr>
          <w:rFonts w:ascii="inherit" w:eastAsia="Times New Roman" w:hAnsi="inherit" w:cs="Segoe UI"/>
          <w:color w:val="FFFFFF"/>
          <w:sz w:val="23"/>
          <w:szCs w:val="23"/>
          <w:rtl/>
        </w:rPr>
        <w:t xml:space="preserve">، </w:t>
      </w:r>
      <w:r w:rsidRPr="006D488F">
        <w:rPr>
          <w:rFonts w:ascii="inherit" w:eastAsia="Times New Roman" w:hAnsi="inherit" w:cs="Segoe UI"/>
          <w:color w:val="FFFFFF"/>
          <w:sz w:val="23"/>
          <w:szCs w:val="23"/>
        </w:rPr>
        <w:t>pvmt</w:t>
      </w:r>
      <w:r w:rsidRPr="006D488F">
        <w:rPr>
          <w:rFonts w:ascii="inherit" w:eastAsia="Times New Roman" w:hAnsi="inherit" w:cs="Segoe UI"/>
          <w:color w:val="FFFFFF"/>
          <w:sz w:val="23"/>
          <w:szCs w:val="23"/>
          <w:rtl/>
        </w:rPr>
        <w:t xml:space="preserve"> الأساسي (</w:t>
      </w:r>
      <w:r w:rsidRPr="006D488F">
        <w:rPr>
          <w:rFonts w:ascii="inherit" w:eastAsia="Times New Roman" w:hAnsi="inherit" w:cs="Segoe UI"/>
          <w:color w:val="FFFFFF"/>
          <w:sz w:val="23"/>
          <w:szCs w:val="23"/>
        </w:rPr>
        <w:t>g the ernment</w:t>
      </w:r>
      <w:r w:rsidRPr="006D488F">
        <w:rPr>
          <w:rFonts w:ascii="inherit" w:eastAsia="Times New Roman" w:hAnsi="inherit" w:cs="Segoe UI"/>
          <w:color w:val="FFFFFF"/>
          <w:sz w:val="23"/>
          <w:szCs w:val="23"/>
          <w:rtl/>
        </w:rPr>
        <w:t xml:space="preserve"> نفسها ، وليس </w:t>
      </w:r>
      <w:r w:rsidRPr="006D488F">
        <w:rPr>
          <w:rFonts w:ascii="inherit" w:eastAsia="Times New Roman" w:hAnsi="inherit" w:cs="Segoe UI"/>
          <w:color w:val="FFFFFF"/>
          <w:sz w:val="23"/>
          <w:szCs w:val="23"/>
        </w:rPr>
        <w:t xml:space="preserve">its constitucncy). </w:t>
      </w:r>
      <w:r w:rsidRPr="006D488F">
        <w:rPr>
          <w:rFonts w:ascii="inherit" w:eastAsia="Times New Roman" w:hAnsi="inherit" w:cs="Segoe UI"/>
          <w:color w:val="FFFFFF"/>
          <w:sz w:val="23"/>
          <w:szCs w:val="23"/>
          <w:rtl/>
        </w:rPr>
        <w:t xml:space="preserve">من المتوقع أن يتم سداد كامل الدين المستحق لوحدة المكون ، بما في ذلك الديون ، كليًا أو بالكامل تقريبًا من خلال الإدارة الأولية. لاحظ أنه بحكم تعريفها ، لن تلبي الأغلبية الساحقة من الوحدات المكونة أي من المعيارين الأخيرين ، فقط أنواع معينة من المؤسسات ، مثل سلطات البناء ، لديها القدرة على تلبية المعايير في المجموعة الثانية. لا يمكن للمنظمات مثل هيئات إدارة المدارس والمطارات والمراكز المدنية وسلطات العبور أن تكون جزءًا من الحكومة الأساسية الموضوعية إلا "تم استيفاء معيار الهيئة الإدارية نفسه جوهريًا. والغرض الأساسي لهذه المنظمات هو خدمة الجمهور والكيانات وفائدتهما. خارج نطاق الحكومة ، وليس الحكومة نفسها ، والمعيار في النقطة الثالثة صارم تمامًا ، وقد صُمم بحيث يتطلب مزجًا لمركبات مالية محددة تم العثور عليها بشكل حصري ، إن لم يكن حصريًا ، في حكومات دول معينة لتوضيح معيار الهيئة الإدارية نفسه جوهريًا لنفترض أن مجلس المدينة يضم سبعة أعضاء وأن مجلس إدارة وحدة مكونات محتملة مكون من خمسة أعضاء ، ولتحقيق نفس المعيار الأساسي لهيئة الإدارة ، يجب أن يكون أربعة أعضاء في المجلس على الأقل في الجهاز الحاكم لوحدة المكونات. لا يتم استيفاء المعيار ، حيث يمثل أعضاء المجلس الثلاثة أغلبية تصويت على لوحة وحدة المكونات ولكن ليس أغلبية تصويت مجلس المدينة. المعيار يتطلب كلا. وكمثال آخر ، يجب أن يكون للوحدة المكونة للدولة هيئة حاكمة كبيرة للغاية لتلبية هذا المعيار. يجب على الأقل واحد على أكثر من نصف المجلس التشريعي للولاية أن يعمل في هيئة إدارة الوحدة المكونة! أذكر أن </w:t>
      </w:r>
      <w:r w:rsidRPr="006D488F">
        <w:rPr>
          <w:rFonts w:ascii="inherit" w:eastAsia="Times New Roman" w:hAnsi="inherit" w:cs="Segoe UI"/>
          <w:color w:val="FFFFFF"/>
          <w:sz w:val="23"/>
          <w:szCs w:val="23"/>
        </w:rPr>
        <w:t>PG</w:t>
      </w:r>
      <w:r w:rsidRPr="006D488F">
        <w:rPr>
          <w:rFonts w:ascii="inherit" w:eastAsia="Times New Roman" w:hAnsi="inherit" w:cs="Segoe UI"/>
          <w:color w:val="FFFFFF"/>
          <w:sz w:val="23"/>
          <w:szCs w:val="23"/>
          <w:rtl/>
        </w:rPr>
        <w:t xml:space="preserve"> لا يمزج وحدة مكون فقط لأن لديهم هيئة الإدارة نفسها بشكل جوهري. كما يجب على </w:t>
      </w:r>
      <w:r w:rsidRPr="006D488F">
        <w:rPr>
          <w:rFonts w:ascii="inherit" w:eastAsia="Times New Roman" w:hAnsi="inherit" w:cs="Segoe UI"/>
          <w:color w:val="FFFFFF"/>
          <w:sz w:val="23"/>
          <w:szCs w:val="23"/>
        </w:rPr>
        <w:t>PG</w:t>
      </w:r>
      <w:r w:rsidRPr="006D488F">
        <w:rPr>
          <w:rFonts w:ascii="inherit" w:eastAsia="Times New Roman" w:hAnsi="inherit" w:cs="Segoe UI"/>
          <w:color w:val="FFFFFF"/>
          <w:sz w:val="23"/>
          <w:szCs w:val="23"/>
          <w:rtl/>
        </w:rPr>
        <w:t xml:space="preserve"> ووحدة المكونات مشاركة علاقة المنفعة أو العبء المالي الممزوجة. لذلك ، إذا كان مجلس المدينة بمثابة مجلس إدارة الخدمة العامة التي توفر وحدة مكون يمكن إدارتها وإطلاقها والتي تعتمد معدلات خدمتها وميزانيتها ، فإن وحدة المكونات لن يتم مزجها إذا لم تكن هناك فائدة مالية أو علاقة العبء. يتم خلط البيانات المالية للوحدات المكونة التي تشكل جزءًا من الحكومة الرئيسية في الحالة مع البيانات المالية للكيان القانوني الحكومي الرئيسي (كما هو الحال مع جميع الكيانات التي تعتبر جزءًا من الحكومة الأولية). كل المكونات الأخرى</w:t>
      </w:r>
    </w:p>
    <w:p w:rsidR="006D488F" w:rsidRPr="004E25C9" w:rsidRDefault="006D488F" w:rsidP="004E25C9">
      <w:pPr>
        <w:shd w:val="clear" w:color="auto" w:fill="0084FF"/>
        <w:bidi w:val="0"/>
        <w:spacing w:line="240" w:lineRule="auto"/>
        <w:rPr>
          <w:rFonts w:ascii="inherit" w:eastAsia="Times New Roman" w:hAnsi="inherit" w:cs="Segoe UI"/>
          <w:color w:val="FFFFFF"/>
          <w:sz w:val="23"/>
          <w:szCs w:val="23"/>
          <w:rtl/>
          <w:lang w:bidi="ar-IQ"/>
        </w:rPr>
      </w:pPr>
      <w:r w:rsidRPr="006D488F">
        <w:rPr>
          <w:rFonts w:ascii="inherit" w:eastAsia="Times New Roman" w:hAnsi="inherit" w:cs="Segoe UI"/>
          <w:color w:val="FFFFFF"/>
          <w:sz w:val="23"/>
          <w:szCs w:val="23"/>
        </w:rPr>
        <w:lastRenderedPageBreak/>
        <w:t xml:space="preserve">15-1 IN PRACTICE </w:t>
      </w:r>
      <w:r w:rsidRPr="006D488F">
        <w:rPr>
          <w:rFonts w:ascii="inherit" w:eastAsia="Times New Roman" w:hAnsi="inherit" w:cs="Segoe UI"/>
          <w:color w:val="FFFFFF"/>
          <w:sz w:val="23"/>
          <w:szCs w:val="23"/>
          <w:rtl/>
        </w:rPr>
        <w:t>الوحدات المكونة والمشاريع المغروسة والمنظمات ذات الصلة: هي أضرار التمييز في التقارير في مدينة تولا ، أوكلاهوما ، البيانات المالية الأساسية أو السنة الأخيرة يمكن أن تتسوق على الفور ، وتبين أن المعيار يعرّف المشاريع المشتركة ، وغيرها فيما يتعلق ببيانات</w:t>
      </w:r>
      <w:r w:rsidRPr="006D488F">
        <w:rPr>
          <w:rFonts w:ascii="inherit" w:eastAsia="Times New Roman" w:hAnsi="inherit" w:cs="Segoe UI"/>
          <w:color w:val="FFFFFF"/>
          <w:sz w:val="23"/>
          <w:szCs w:val="23"/>
        </w:rPr>
        <w:t xml:space="preserve"> Junc 30 2034 </w:t>
      </w:r>
      <w:r w:rsidRPr="006D488F">
        <w:rPr>
          <w:rFonts w:ascii="inherit" w:eastAsia="Times New Roman" w:hAnsi="inherit" w:cs="Segoe UI"/>
          <w:color w:val="FFFFFF"/>
          <w:sz w:val="23"/>
          <w:szCs w:val="23"/>
          <w:rtl/>
        </w:rPr>
        <w:t>المالية الأساسية أ. تقديم التقارير في تقييم المدينة ككيان مبلِّغ ، قامت الإدارة بإضافة جميع الوحدات المكونة المحتملة (التقاليد - المدينة هي المسعف الوحيد من</w:t>
      </w:r>
      <w:r w:rsidRPr="006D488F">
        <w:rPr>
          <w:rFonts w:ascii="inherit" w:eastAsia="Times New Roman" w:hAnsi="inherit" w:cs="Segoe UI"/>
          <w:color w:val="FFFFFF"/>
          <w:sz w:val="23"/>
          <w:szCs w:val="23"/>
        </w:rPr>
        <w:t xml:space="preserve"> TPA </w:t>
      </w:r>
      <w:r w:rsidRPr="006D488F">
        <w:rPr>
          <w:rFonts w:ascii="inherit" w:eastAsia="Times New Roman" w:hAnsi="inherit" w:cs="Segoe UI"/>
          <w:color w:val="FFFFFF"/>
          <w:sz w:val="23"/>
          <w:szCs w:val="23"/>
          <w:rtl/>
        </w:rPr>
        <w:t>وستتلقى حلفاء تقارير منفصلة) التي قد تكون المدينة هي الأصول المتبقية من</w:t>
      </w:r>
      <w:r w:rsidRPr="006D488F">
        <w:rPr>
          <w:rFonts w:ascii="inherit" w:eastAsia="Times New Roman" w:hAnsi="inherit" w:cs="Segoe UI"/>
          <w:color w:val="FFFFFF"/>
          <w:sz w:val="23"/>
          <w:szCs w:val="23"/>
        </w:rPr>
        <w:t xml:space="preserve"> TPA </w:t>
      </w:r>
      <w:r w:rsidRPr="006D488F">
        <w:rPr>
          <w:rFonts w:ascii="inherit" w:eastAsia="Times New Roman" w:hAnsi="inherit" w:cs="Segoe UI"/>
          <w:color w:val="FFFFFF"/>
          <w:sz w:val="23"/>
          <w:szCs w:val="23"/>
          <w:rtl/>
        </w:rPr>
        <w:t>عند إنهاء رئيس البلدية وأربعة ترنوستس الذين يتم تعيينهم من قبل رئيس البلدية توفر المدينة بعض الموارد ، وبالتالي ، إذا كان قد قام بتضمين تولسا</w:t>
      </w:r>
      <w:r w:rsidRPr="006D488F">
        <w:rPr>
          <w:rFonts w:ascii="inherit" w:eastAsia="Times New Roman" w:hAnsi="inherit" w:cs="Segoe UI"/>
          <w:color w:val="FFFFFF"/>
          <w:sz w:val="23"/>
          <w:szCs w:val="23"/>
        </w:rPr>
        <w:t xml:space="preserve"> Authonity </w:t>
      </w:r>
      <w:r w:rsidRPr="006D488F">
        <w:rPr>
          <w:rFonts w:ascii="inherit" w:eastAsia="Times New Roman" w:hAnsi="inherit" w:cs="Segoe UI"/>
          <w:color w:val="FFFFFF"/>
          <w:sz w:val="23"/>
          <w:szCs w:val="23"/>
          <w:rtl/>
        </w:rPr>
        <w:t>للبيانات الخاصة بـ</w:t>
      </w:r>
      <w:r w:rsidRPr="006D488F">
        <w:rPr>
          <w:rFonts w:ascii="inherit" w:eastAsia="Times New Roman" w:hAnsi="inherit" w:cs="Segoe UI"/>
          <w:color w:val="FFFFFF"/>
          <w:sz w:val="23"/>
          <w:szCs w:val="23"/>
        </w:rPr>
        <w:t xml:space="preserve"> Recotery of Encoty STAREA </w:t>
      </w:r>
      <w:r w:rsidRPr="006D488F">
        <w:rPr>
          <w:rFonts w:ascii="inherit" w:eastAsia="Times New Roman" w:hAnsi="inherit" w:cs="Segoe UI"/>
          <w:color w:val="FFFFFF"/>
          <w:sz w:val="23"/>
          <w:szCs w:val="23"/>
          <w:rtl/>
        </w:rPr>
        <w:t>المالية. إن المدينة (برنامج الترميز العام الذي تم إنشاؤه لتوفير نظام من حكومة التحصيل المالي) تخضع للمساءلة المالية إذا نقلت والتخلص من النفايات الصلبة. لأصحاب و () أنها قادرة على فرض إرادتها على تنظيم مجلس المدينة ، وتشارك</w:t>
      </w:r>
      <w:r w:rsidRPr="006D488F">
        <w:rPr>
          <w:rFonts w:ascii="inherit" w:eastAsia="Times New Roman" w:hAnsi="inherit" w:cs="Segoe UI"/>
          <w:color w:val="FFFFFF"/>
          <w:sz w:val="23"/>
          <w:szCs w:val="23"/>
        </w:rPr>
        <w:t xml:space="preserve"> Cty </w:t>
      </w:r>
      <w:r w:rsidRPr="006D488F">
        <w:rPr>
          <w:rFonts w:ascii="inherit" w:eastAsia="Times New Roman" w:hAnsi="inherit" w:cs="Segoe UI"/>
          <w:color w:val="FFFFFF"/>
          <w:sz w:val="23"/>
          <w:szCs w:val="23"/>
          <w:rtl/>
        </w:rPr>
        <w:t>في الإدارة</w:t>
      </w:r>
      <w:r w:rsidRPr="006D488F">
        <w:rPr>
          <w:rFonts w:ascii="inherit" w:eastAsia="Times New Roman" w:hAnsi="inherit" w:cs="Segoe UI"/>
          <w:color w:val="FFFFFF"/>
          <w:sz w:val="23"/>
          <w:szCs w:val="23"/>
        </w:rPr>
        <w:t xml:space="preserve"> deci- </w:t>
      </w:r>
      <w:r w:rsidRPr="006D488F">
        <w:rPr>
          <w:rFonts w:ascii="inherit" w:eastAsia="Times New Roman" w:hAnsi="inherit" w:cs="Segoe UI"/>
          <w:color w:val="FFFFFF"/>
          <w:sz w:val="23"/>
          <w:szCs w:val="23"/>
          <w:rtl/>
        </w:rPr>
        <w:t>أو (2) هناك إمكانية للمنظمة لتوفير</w:t>
      </w:r>
      <w:r w:rsidRPr="006D488F">
        <w:rPr>
          <w:rFonts w:ascii="inherit" w:eastAsia="Times New Roman" w:hAnsi="inherit" w:cs="Segoe UI"/>
          <w:color w:val="FFFFFF"/>
          <w:sz w:val="23"/>
          <w:szCs w:val="23"/>
        </w:rPr>
        <w:t xml:space="preserve"> sions </w:t>
      </w:r>
      <w:r w:rsidRPr="006D488F">
        <w:rPr>
          <w:rFonts w:ascii="inherit" w:eastAsia="Times New Roman" w:hAnsi="inherit" w:cs="Segoe UI"/>
          <w:color w:val="FFFFFF"/>
          <w:sz w:val="23"/>
          <w:szCs w:val="23"/>
          <w:rtl/>
        </w:rPr>
        <w:t>ويعمل بمثابة وكيل</w:t>
      </w:r>
      <w:r w:rsidRPr="006D488F">
        <w:rPr>
          <w:rFonts w:ascii="inherit" w:eastAsia="Times New Roman" w:hAnsi="inherit" w:cs="Segoe UI"/>
          <w:color w:val="FFFFFF"/>
          <w:sz w:val="23"/>
          <w:szCs w:val="23"/>
        </w:rPr>
        <w:t xml:space="preserve"> colleerion </w:t>
      </w:r>
      <w:r w:rsidRPr="006D488F">
        <w:rPr>
          <w:rFonts w:ascii="inherit" w:eastAsia="Times New Roman" w:hAnsi="inherit" w:cs="Segoe UI"/>
          <w:color w:val="FFFFFF"/>
          <w:sz w:val="23"/>
          <w:szCs w:val="23"/>
          <w:rtl/>
        </w:rPr>
        <w:t>عن طريق جمع</w:t>
      </w:r>
      <w:r w:rsidRPr="006D488F">
        <w:rPr>
          <w:rFonts w:ascii="inherit" w:eastAsia="Times New Roman" w:hAnsi="inherit" w:cs="Segoe UI"/>
          <w:color w:val="FFFFFF"/>
          <w:sz w:val="23"/>
          <w:szCs w:val="23"/>
        </w:rPr>
        <w:t xml:space="preserve"> TAR </w:t>
      </w:r>
      <w:r w:rsidRPr="006D488F">
        <w:rPr>
          <w:rFonts w:ascii="inherit" w:eastAsia="Times New Roman" w:hAnsi="inherit" w:cs="Segoe UI"/>
          <w:color w:val="FFFFFF"/>
          <w:sz w:val="23"/>
          <w:szCs w:val="23"/>
          <w:rtl/>
        </w:rPr>
        <w:t>المالية المحددة العبء على المدينة. بالإضافة إلى ذلك ، فإن العائدات كجزء من فاتورة المرافق العامة</w:t>
      </w:r>
      <w:r w:rsidRPr="006D488F">
        <w:rPr>
          <w:rFonts w:ascii="inherit" w:eastAsia="Times New Roman" w:hAnsi="inherit" w:cs="Segoe UI"/>
          <w:color w:val="FFFFFF"/>
          <w:sz w:val="23"/>
          <w:szCs w:val="23"/>
        </w:rPr>
        <w:t xml:space="preserve"> Cty </w:t>
      </w:r>
      <w:r w:rsidRPr="006D488F">
        <w:rPr>
          <w:rFonts w:ascii="inherit" w:eastAsia="Times New Roman" w:hAnsi="inherit" w:cs="Segoe UI"/>
          <w:color w:val="FFFFFF"/>
          <w:sz w:val="23"/>
          <w:szCs w:val="23"/>
          <w:rtl/>
        </w:rPr>
        <w:t>، يتعين على الحكومة الأولية أن تنظر في معاملات صندوق تحسين المطارات</w:t>
      </w:r>
      <w:r w:rsidRPr="006D488F">
        <w:rPr>
          <w:rFonts w:ascii="inherit" w:eastAsia="Times New Roman" w:hAnsi="inherit" w:cs="Segoe UI"/>
          <w:color w:val="FFFFFF"/>
          <w:sz w:val="23"/>
          <w:szCs w:val="23"/>
        </w:rPr>
        <w:t xml:space="preserve"> Airnorts-Tulsa </w:t>
      </w:r>
      <w:r w:rsidRPr="006D488F">
        <w:rPr>
          <w:rFonts w:ascii="inherit" w:eastAsia="Times New Roman" w:hAnsi="inherit" w:cs="Segoe UI"/>
          <w:color w:val="FFFFFF"/>
          <w:sz w:val="23"/>
          <w:szCs w:val="23"/>
          <w:rtl/>
        </w:rPr>
        <w:t>لتحسين طبيعة وأهميتها</w:t>
      </w:r>
      <w:r w:rsidRPr="006D488F">
        <w:rPr>
          <w:rFonts w:ascii="inherit" w:eastAsia="Times New Roman" w:hAnsi="inherit" w:cs="Segoe UI"/>
          <w:color w:val="FFFFFF"/>
          <w:sz w:val="23"/>
          <w:szCs w:val="23"/>
        </w:rPr>
        <w:t xml:space="preserve"> (TAIT) </w:t>
      </w:r>
      <w:r w:rsidRPr="006D488F">
        <w:rPr>
          <w:rFonts w:ascii="inherit" w:eastAsia="Times New Roman" w:hAnsi="inherit" w:cs="Segoe UI"/>
          <w:color w:val="FFFFFF"/>
          <w:sz w:val="23"/>
          <w:szCs w:val="23"/>
          <w:rtl/>
        </w:rPr>
        <w:t>وعلاقتها</w:t>
      </w:r>
      <w:r w:rsidRPr="006D488F">
        <w:rPr>
          <w:rFonts w:ascii="inherit" w:eastAsia="Times New Roman" w:hAnsi="inherit" w:cs="Segoe UI"/>
          <w:color w:val="FFFFFF"/>
          <w:sz w:val="23"/>
          <w:szCs w:val="23"/>
        </w:rPr>
        <w:t xml:space="preserve"> CTAA </w:t>
      </w:r>
      <w:r w:rsidRPr="006D488F">
        <w:rPr>
          <w:rFonts w:ascii="inherit" w:eastAsia="Times New Roman" w:hAnsi="inherit" w:cs="Segoe UI"/>
          <w:color w:val="FFFFFF"/>
          <w:sz w:val="23"/>
          <w:szCs w:val="23"/>
          <w:rtl/>
        </w:rPr>
        <w:t>سلطة تولسا</w:t>
      </w:r>
      <w:r w:rsidRPr="006D488F">
        <w:rPr>
          <w:rFonts w:ascii="inherit" w:eastAsia="Times New Roman" w:hAnsi="inherit" w:cs="Segoe UI"/>
          <w:color w:val="FFFFFF"/>
          <w:sz w:val="23"/>
          <w:szCs w:val="23"/>
        </w:rPr>
        <w:t xml:space="preserve"> Airparts </w:t>
      </w:r>
      <w:r w:rsidRPr="006D488F">
        <w:rPr>
          <w:rFonts w:ascii="inherit" w:eastAsia="Times New Roman" w:hAnsi="inherit" w:cs="Segoe UI"/>
          <w:color w:val="FFFFFF"/>
          <w:sz w:val="23"/>
          <w:szCs w:val="23"/>
          <w:rtl/>
        </w:rPr>
        <w:t>مع الحكومة الأولية هي أن الاستبعاد من شأنه أن يجعل البيانات المالية للكيان المقدم للتقارير مضللة أو غير كاملة. تشغيل وصيانة مطاري المدينة وهما تولسا إنترناشيونال وريتشارد آي. جونز. الأشعة تحت الحمراء. المطارات والتحسينات الرأسمالية غير المباشرة تم تنسيق تولكا إنترناشيونال والبيانات المالية للسماح لمطار ريتشارد جونز جونز جونيور بالمشاركة مع المستخدم للتمييز غالياً بين</w:t>
      </w:r>
      <w:r w:rsidRPr="006D488F">
        <w:rPr>
          <w:rFonts w:ascii="inherit" w:eastAsia="Times New Roman" w:hAnsi="inherit" w:cs="Segoe UI"/>
          <w:color w:val="FFFFFF"/>
          <w:sz w:val="23"/>
          <w:szCs w:val="23"/>
        </w:rPr>
        <w:t xml:space="preserve"> TOIT </w:t>
      </w:r>
      <w:r w:rsidRPr="006D488F">
        <w:rPr>
          <w:rFonts w:ascii="inherit" w:eastAsia="Times New Roman" w:hAnsi="inherit" w:cs="Segoe UI"/>
          <w:color w:val="FFFFFF"/>
          <w:sz w:val="23"/>
          <w:szCs w:val="23"/>
          <w:rtl/>
        </w:rPr>
        <w:t>و</w:t>
      </w:r>
      <w:r w:rsidRPr="006D488F">
        <w:rPr>
          <w:rFonts w:ascii="inherit" w:eastAsia="Times New Roman" w:hAnsi="inherit" w:cs="Segoe UI"/>
          <w:color w:val="FFFFFF"/>
          <w:sz w:val="23"/>
          <w:szCs w:val="23"/>
        </w:rPr>
        <w:t xml:space="preserve"> GTA </w:t>
      </w:r>
      <w:r w:rsidRPr="006D488F">
        <w:rPr>
          <w:rFonts w:ascii="inherit" w:eastAsia="Times New Roman" w:hAnsi="inherit" w:cs="Segoe UI"/>
          <w:color w:val="FFFFFF"/>
          <w:sz w:val="23"/>
          <w:szCs w:val="23"/>
          <w:rtl/>
        </w:rPr>
        <w:t>الأساسيين في صندوق المطارات. الغرض من العنصر ووحداته المكونة بشكل منفصل ، من</w:t>
      </w:r>
      <w:r w:rsidRPr="006D488F">
        <w:rPr>
          <w:rFonts w:ascii="inherit" w:eastAsia="Times New Roman" w:hAnsi="inherit" w:cs="Segoe UI"/>
          <w:color w:val="FFFFFF"/>
          <w:sz w:val="23"/>
          <w:szCs w:val="23"/>
        </w:rPr>
        <w:t xml:space="preserve"> TAIT </w:t>
      </w:r>
      <w:r w:rsidRPr="006D488F">
        <w:rPr>
          <w:rFonts w:ascii="inherit" w:eastAsia="Times New Roman" w:hAnsi="inherit" w:cs="Segoe UI"/>
          <w:color w:val="FFFFFF"/>
          <w:sz w:val="23"/>
          <w:szCs w:val="23"/>
          <w:rtl/>
        </w:rPr>
        <w:t>هو تمويل تحسينات المطار من خلال</w:t>
      </w:r>
      <w:r w:rsidRPr="006D488F">
        <w:rPr>
          <w:rFonts w:ascii="inherit" w:eastAsia="Times New Roman" w:hAnsi="inherit" w:cs="Segoe UI"/>
          <w:color w:val="FFFFFF"/>
          <w:sz w:val="23"/>
          <w:szCs w:val="23"/>
        </w:rPr>
        <w:t xml:space="preserve"> is- </w:t>
      </w:r>
      <w:r w:rsidRPr="006D488F">
        <w:rPr>
          <w:rFonts w:ascii="inherit" w:eastAsia="Times New Roman" w:hAnsi="inherit" w:cs="Segoe UI"/>
          <w:color w:val="FFFFFF"/>
          <w:sz w:val="23"/>
          <w:szCs w:val="23"/>
          <w:rtl/>
        </w:rPr>
        <w:t>نظرًا لقرب علاقتها بامتلاك سندات الإيرادات ، يتم تأجير جميع التحسينات من قبل الحكومة ، يتم دمج وحدة مكون واحدة باسم</w:t>
      </w:r>
      <w:r w:rsidRPr="006D488F">
        <w:rPr>
          <w:rFonts w:ascii="inherit" w:eastAsia="Times New Roman" w:hAnsi="inherit" w:cs="Segoe UI"/>
          <w:color w:val="FFFFFF"/>
          <w:sz w:val="23"/>
          <w:szCs w:val="23"/>
        </w:rPr>
        <w:t xml:space="preserve"> TAIT </w:t>
      </w:r>
      <w:r w:rsidRPr="006D488F">
        <w:rPr>
          <w:rFonts w:ascii="inherit" w:eastAsia="Times New Roman" w:hAnsi="inherit" w:cs="Segoe UI"/>
          <w:color w:val="FFFFFF"/>
          <w:sz w:val="23"/>
          <w:szCs w:val="23"/>
          <w:rtl/>
        </w:rPr>
        <w:t>إلى</w:t>
      </w:r>
      <w:r w:rsidRPr="006D488F">
        <w:rPr>
          <w:rFonts w:ascii="inherit" w:eastAsia="Times New Roman" w:hAnsi="inherit" w:cs="Segoe UI"/>
          <w:color w:val="FFFFFF"/>
          <w:sz w:val="23"/>
          <w:szCs w:val="23"/>
        </w:rPr>
        <w:t xml:space="preserve"> TAA </w:t>
      </w:r>
      <w:r w:rsidRPr="006D488F">
        <w:rPr>
          <w:rFonts w:ascii="inherit" w:eastAsia="Times New Roman" w:hAnsi="inherit" w:cs="Segoe UI"/>
          <w:color w:val="FFFFFF"/>
          <w:sz w:val="23"/>
          <w:szCs w:val="23"/>
          <w:rtl/>
        </w:rPr>
        <w:t>وتصبح ملكًا للمدينة بعد إنهاء عقد الإيجار. كما تم تصنيف المدينة على أنها المستفيد الوحيد من الثقة ، ويتم تعيين</w:t>
      </w:r>
      <w:r w:rsidRPr="006D488F">
        <w:rPr>
          <w:rFonts w:ascii="inherit" w:eastAsia="Times New Roman" w:hAnsi="inherit" w:cs="Segoe UI"/>
          <w:color w:val="FFFFFF"/>
          <w:sz w:val="23"/>
          <w:szCs w:val="23"/>
        </w:rPr>
        <w:t xml:space="preserve"> TAIT </w:t>
      </w:r>
      <w:r w:rsidRPr="006D488F">
        <w:rPr>
          <w:rFonts w:ascii="inherit" w:eastAsia="Times New Roman" w:hAnsi="inherit" w:cs="Segoe UI"/>
          <w:color w:val="FFFFFF"/>
          <w:sz w:val="23"/>
          <w:szCs w:val="23"/>
          <w:rtl/>
        </w:rPr>
        <w:t>و</w:t>
      </w:r>
      <w:r w:rsidRPr="006D488F">
        <w:rPr>
          <w:rFonts w:ascii="inherit" w:eastAsia="Times New Roman" w:hAnsi="inherit" w:cs="Segoe UI"/>
          <w:color w:val="FFFFFF"/>
          <w:sz w:val="23"/>
          <w:szCs w:val="23"/>
        </w:rPr>
        <w:t xml:space="preserve"> TAA ees </w:t>
      </w:r>
      <w:r w:rsidRPr="006D488F">
        <w:rPr>
          <w:rFonts w:ascii="inherit" w:eastAsia="Times New Roman" w:hAnsi="inherit" w:cs="Segoe UI"/>
          <w:color w:val="FFFFFF"/>
          <w:sz w:val="23"/>
          <w:szCs w:val="23"/>
          <w:rtl/>
        </w:rPr>
        <w:t>من قبل العمدة وتوافق عليها المدينة رغم أنها جزء من الحكومة الأولية. 1. وحدات المكونات المخلوطة تولوز هيئة المرافق العامة</w:t>
      </w:r>
      <w:r w:rsidRPr="006D488F">
        <w:rPr>
          <w:rFonts w:ascii="inherit" w:eastAsia="Times New Roman" w:hAnsi="inherit" w:cs="Segoe UI"/>
          <w:color w:val="FFFFFF"/>
          <w:sz w:val="23"/>
          <w:szCs w:val="23"/>
        </w:rPr>
        <w:t xml:space="preserve"> TPEA-s </w:t>
      </w:r>
      <w:r w:rsidRPr="006D488F">
        <w:rPr>
          <w:rFonts w:ascii="inherit" w:eastAsia="Times New Roman" w:hAnsi="inherit" w:cs="Segoe UI"/>
          <w:color w:val="FFFFFF"/>
          <w:sz w:val="23"/>
          <w:szCs w:val="23"/>
          <w:rtl/>
        </w:rPr>
        <w:t>منفصلاً قانونياً عن المدينة. يتم الإبلاغ عن</w:t>
      </w:r>
      <w:r w:rsidRPr="006D488F">
        <w:rPr>
          <w:rFonts w:ascii="inherit" w:eastAsia="Times New Roman" w:hAnsi="inherit" w:cs="Segoe UI"/>
          <w:color w:val="FFFFFF"/>
          <w:sz w:val="23"/>
          <w:szCs w:val="23"/>
        </w:rPr>
        <w:t xml:space="preserve"> TPFA </w:t>
      </w:r>
      <w:r w:rsidRPr="006D488F">
        <w:rPr>
          <w:rFonts w:ascii="inherit" w:eastAsia="Times New Roman" w:hAnsi="inherit" w:cs="Segoe UI"/>
          <w:color w:val="FFFFFF"/>
          <w:sz w:val="23"/>
          <w:szCs w:val="23"/>
          <w:rtl/>
        </w:rPr>
        <w:t>لأنها كانت جزءًا من الحكومة الأولية لأن هدفها الأساسي هو إصدار سندات للإيرادات لتمويل رأس المال الرئيسي - ثقة ناشئة تم إنشاؤها لمساعدة المدينة في تشغيل مركز تولسا للفنون التطبيقية ورعاية مركز الفنون في المدينة مجلس. المدينة هي المستفيد الوحيد من استخدام تولسا نيابة عن المدينة. يتم تضمين هذا الصندوق كخدمة داخلية. ثقة</w:t>
      </w:r>
      <w:r w:rsidRPr="006D488F">
        <w:rPr>
          <w:rFonts w:ascii="inherit" w:eastAsia="Times New Roman" w:hAnsi="inherit" w:cs="Segoe UI"/>
          <w:color w:val="FFFFFF"/>
          <w:sz w:val="23"/>
          <w:szCs w:val="23"/>
        </w:rPr>
        <w:t xml:space="preserve">. Z </w:t>
      </w:r>
      <w:r w:rsidRPr="006D488F">
        <w:rPr>
          <w:rFonts w:ascii="inherit" w:eastAsia="Times New Roman" w:hAnsi="inherit" w:cs="Segoe UI"/>
          <w:color w:val="FFFFFF"/>
          <w:sz w:val="23"/>
          <w:szCs w:val="23"/>
          <w:rtl/>
        </w:rPr>
        <w:t>هيئة الوحدات المكونة بشكل غير واضح</w:t>
      </w:r>
      <w:r w:rsidRPr="006D488F">
        <w:rPr>
          <w:rFonts w:ascii="inherit" w:eastAsia="Times New Roman" w:hAnsi="inherit" w:cs="Segoe UI"/>
          <w:color w:val="FFFFFF"/>
          <w:sz w:val="23"/>
          <w:szCs w:val="23"/>
        </w:rPr>
        <w:t xml:space="preserve"> CTMUA-A </w:t>
      </w:r>
      <w:r w:rsidRPr="006D488F">
        <w:rPr>
          <w:rFonts w:ascii="inherit" w:eastAsia="Times New Roman" w:hAnsi="inherit" w:cs="Segoe UI"/>
          <w:color w:val="FFFFFF"/>
          <w:sz w:val="23"/>
          <w:szCs w:val="23"/>
          <w:rtl/>
        </w:rPr>
        <w:t>تم إنشاء ثقة عامة لتوفير الثقة العامة في وسائل النقل العام التي تم إنشاؤها لتوفير أنظمة ومرافق مرافق توصيل المياه. يعين العمدة أمناء النظام ومصلحة مياه الصرف الصحي. أمناء</w:t>
      </w:r>
      <w:r w:rsidRPr="006D488F">
        <w:rPr>
          <w:rFonts w:ascii="inherit" w:eastAsia="Times New Roman" w:hAnsi="inherit" w:cs="Segoe UI"/>
          <w:color w:val="FFFFFF"/>
          <w:sz w:val="23"/>
          <w:szCs w:val="23"/>
        </w:rPr>
        <w:t xml:space="preserve"> TMUA </w:t>
      </w:r>
      <w:r w:rsidRPr="006D488F">
        <w:rPr>
          <w:rFonts w:ascii="inherit" w:eastAsia="Times New Roman" w:hAnsi="inherit" w:cs="Segoe UI"/>
          <w:color w:val="FFFFFF"/>
          <w:sz w:val="23"/>
          <w:szCs w:val="23"/>
          <w:rtl/>
        </w:rPr>
        <w:t>هم</w:t>
      </w:r>
      <w:r w:rsidRPr="006D488F">
        <w:rPr>
          <w:rFonts w:ascii="inherit" w:eastAsia="Times New Roman" w:hAnsi="inherit" w:cs="Segoe UI"/>
          <w:color w:val="FFFFFF"/>
          <w:sz w:val="23"/>
          <w:szCs w:val="23"/>
        </w:rPr>
        <w:t xml:space="preserve"> MTTA. </w:t>
      </w:r>
      <w:r w:rsidRPr="006D488F">
        <w:rPr>
          <w:rFonts w:ascii="inherit" w:eastAsia="Times New Roman" w:hAnsi="inherit" w:cs="Segoe UI"/>
          <w:color w:val="FFFFFF"/>
          <w:sz w:val="23"/>
          <w:szCs w:val="23"/>
          <w:rtl/>
        </w:rPr>
        <w:t>المدينة هي</w:t>
      </w:r>
      <w:r w:rsidRPr="006D488F">
        <w:rPr>
          <w:rFonts w:ascii="inherit" w:eastAsia="Times New Roman" w:hAnsi="inherit" w:cs="Segoe UI"/>
          <w:color w:val="FFFFFF"/>
          <w:sz w:val="23"/>
          <w:szCs w:val="23"/>
        </w:rPr>
        <w:t xml:space="preserve"> bencficiary </w:t>
      </w:r>
      <w:r w:rsidRPr="006D488F">
        <w:rPr>
          <w:rFonts w:ascii="inherit" w:eastAsia="Times New Roman" w:hAnsi="inherit" w:cs="Segoe UI"/>
          <w:color w:val="FFFFFF"/>
          <w:sz w:val="23"/>
          <w:szCs w:val="23"/>
          <w:rtl/>
        </w:rPr>
        <w:t>الوحيد وتمول</w:t>
      </w:r>
      <w:r w:rsidRPr="006D488F">
        <w:rPr>
          <w:rFonts w:ascii="inherit" w:eastAsia="Times New Roman" w:hAnsi="inherit" w:cs="Segoe UI"/>
          <w:color w:val="FFFFFF"/>
          <w:sz w:val="23"/>
          <w:szCs w:val="23"/>
        </w:rPr>
        <w:t xml:space="preserve"> sig. ume </w:t>
      </w:r>
      <w:r w:rsidRPr="006D488F">
        <w:rPr>
          <w:rFonts w:ascii="inherit" w:eastAsia="Times New Roman" w:hAnsi="inherit" w:cs="Segoe UI"/>
          <w:color w:val="FFFFFF"/>
          <w:sz w:val="23"/>
          <w:szCs w:val="23"/>
          <w:rtl/>
        </w:rPr>
        <w:t>مثل تلك الموجودة في المجلس</w:t>
      </w:r>
      <w:r w:rsidRPr="006D488F">
        <w:rPr>
          <w:rFonts w:ascii="inherit" w:eastAsia="Times New Roman" w:hAnsi="inherit" w:cs="Segoe UI"/>
          <w:color w:val="FFFFFF"/>
          <w:sz w:val="23"/>
          <w:szCs w:val="23"/>
        </w:rPr>
        <w:t xml:space="preserve"> tUuility </w:t>
      </w:r>
      <w:r w:rsidRPr="006D488F">
        <w:rPr>
          <w:rFonts w:ascii="inherit" w:eastAsia="Times New Roman" w:hAnsi="inherit" w:cs="Segoe UI"/>
          <w:color w:val="FFFFFF"/>
          <w:sz w:val="23"/>
          <w:szCs w:val="23"/>
          <w:rtl/>
        </w:rPr>
        <w:t>المدينة. المدينة هي جزء هام من العمليات السنوية ولا تستطيع</w:t>
      </w:r>
      <w:r w:rsidRPr="006D488F">
        <w:rPr>
          <w:rFonts w:ascii="inherit" w:eastAsia="Times New Roman" w:hAnsi="inherit" w:cs="Segoe UI"/>
          <w:color w:val="FFFFFF"/>
          <w:sz w:val="23"/>
          <w:szCs w:val="23"/>
        </w:rPr>
        <w:t xml:space="preserve"> MTTA </w:t>
      </w:r>
      <w:r w:rsidRPr="006D488F">
        <w:rPr>
          <w:rFonts w:ascii="inherit" w:eastAsia="Times New Roman" w:hAnsi="inherit" w:cs="Segoe UI"/>
          <w:color w:val="FFFFFF"/>
          <w:sz w:val="23"/>
          <w:szCs w:val="23"/>
          <w:rtl/>
        </w:rPr>
        <w:t>الإستفادة من الثقة وستحصل على جميع ودائع الثقة والإيرادات الناتجة بعد التقاعد من جميع الثقة بموافقة المدينة ، والمديونية. ﺗﻤﺖ اﻟﻤﻮاﻓﻘﺔ ﻋﻠﻰ اﻣﺘﻼك رﺳﻮم اﻟﻤﺴﺘﺨﺪم وﺗﺼﺮﻳﺢ إﺻﺪار اﻟﺴﻨﺪات ﻣﻦ ﻗﺒﻞ ﻣﺠﻠﺲ اﻟﻤﺪﻳﻨﺔ. تولسا</w:t>
      </w:r>
      <w:r w:rsidRPr="006D488F">
        <w:rPr>
          <w:rFonts w:ascii="inherit" w:eastAsia="Times New Roman" w:hAnsi="inherit" w:cs="Segoe UI"/>
          <w:color w:val="FFFFFF"/>
          <w:sz w:val="23"/>
          <w:szCs w:val="23"/>
        </w:rPr>
        <w:t xml:space="preserve"> D </w:t>
      </w:r>
      <w:r w:rsidRPr="006D488F">
        <w:rPr>
          <w:rFonts w:ascii="inherit" w:eastAsia="Times New Roman" w:hAnsi="inherit" w:cs="Segoe UI"/>
          <w:color w:val="FFFFFF"/>
          <w:sz w:val="23"/>
          <w:szCs w:val="23"/>
          <w:rtl/>
        </w:rPr>
        <w:t>ثورة أنشئت لتمويل إعادة تأهيل وتجديد المناطق الحضرية. مفوضو</w:t>
      </w:r>
      <w:r w:rsidRPr="006D488F">
        <w:rPr>
          <w:rFonts w:ascii="inherit" w:eastAsia="Times New Roman" w:hAnsi="inherit" w:cs="Segoe UI"/>
          <w:color w:val="FFFFFF"/>
          <w:sz w:val="23"/>
          <w:szCs w:val="23"/>
        </w:rPr>
        <w:t xml:space="preserve"> TDA </w:t>
      </w:r>
      <w:r w:rsidRPr="006D488F">
        <w:rPr>
          <w:rFonts w:ascii="inherit" w:eastAsia="Times New Roman" w:hAnsi="inherit" w:cs="Segoe UI"/>
          <w:color w:val="FFFFFF"/>
          <w:sz w:val="23"/>
          <w:szCs w:val="23"/>
          <w:rtl/>
        </w:rPr>
        <w:t>هم الذين يتعاملون مع ما يزيد عن 100 دولار في غضون عام بدون بيانات الصندوق الرئيسية للوحدة المكونة ، والبيانات المجمعة غير الساذجة تعكس هذه الوحدات ذات التفويض العام للسلطة</w:t>
      </w:r>
      <w:r w:rsidRPr="006D488F">
        <w:rPr>
          <w:rFonts w:ascii="inherit" w:eastAsia="Times New Roman" w:hAnsi="inherit" w:cs="Segoe UI"/>
          <w:color w:val="FFFFFF"/>
          <w:sz w:val="23"/>
          <w:szCs w:val="23"/>
        </w:rPr>
        <w:t xml:space="preserve"> DA-A. ﺗﺗ</w:t>
      </w:r>
      <w:r w:rsidRPr="006D488F">
        <w:rPr>
          <w:rFonts w:ascii="inherit" w:eastAsia="Times New Roman" w:hAnsi="inherit" w:cs="Segoe UI"/>
          <w:color w:val="FFFFFF"/>
          <w:sz w:val="23"/>
          <w:szCs w:val="23"/>
          <w:rtl/>
        </w:rPr>
        <w:t>وﻓر ﺑﯾﺎﻧﺎت ﻣﺎﻟﯾﺔ ﻣﻧﻔﺻﻟﺔ ﻟﻟوﺣدات اﻟﻣﮐوﻧﺔ اﻟﻔردﯾﺔ ﺑﻧﺎء ﻋﻟﯽ طﻟب اﻟﻣراﻗب ، و 200 ﻣرﮐز ﻣدﻧﻲ ، وﺟﻧﺎح 901 ، ﺗوﻟﺳﺎ ، ﻣن ﻗﺑل اﻟﻌﻣدة وﯾواﻓق ﻋﻟﯾﮫ ﻣﺟﻟس اﻟﻣدﯾﻧﺔ. موافق 74103. يوافق المدينة على خطط التجديد العمراني ويجب على</w:t>
      </w:r>
      <w:r w:rsidRPr="006D488F">
        <w:rPr>
          <w:rFonts w:ascii="inherit" w:eastAsia="Times New Roman" w:hAnsi="inherit" w:cs="Segoe UI"/>
          <w:color w:val="FFFFFF"/>
          <w:sz w:val="23"/>
          <w:szCs w:val="23"/>
        </w:rPr>
        <w:t xml:space="preserve"> Cily </w:t>
      </w:r>
      <w:r w:rsidRPr="006D488F">
        <w:rPr>
          <w:rFonts w:ascii="inherit" w:eastAsia="Times New Roman" w:hAnsi="inherit" w:cs="Segoe UI"/>
          <w:color w:val="FFFFFF"/>
          <w:sz w:val="23"/>
          <w:szCs w:val="23"/>
          <w:rtl/>
        </w:rPr>
        <w:t>الموافقة على جميع التعديلات على الخطة. توفر المدينة للموظفين</w:t>
      </w:r>
      <w:r w:rsidRPr="006D488F">
        <w:rPr>
          <w:rFonts w:ascii="inherit" w:eastAsia="Times New Roman" w:hAnsi="inherit" w:cs="Segoe UI"/>
          <w:color w:val="FFFFFF"/>
          <w:sz w:val="23"/>
          <w:szCs w:val="23"/>
        </w:rPr>
        <w:t xml:space="preserve"> TDA </w:t>
      </w:r>
      <w:r w:rsidRPr="006D488F">
        <w:rPr>
          <w:rFonts w:ascii="inherit" w:eastAsia="Times New Roman" w:hAnsi="inherit" w:cs="Segoe UI"/>
          <w:color w:val="FFFFFF"/>
          <w:sz w:val="23"/>
          <w:szCs w:val="23"/>
          <w:rtl/>
        </w:rPr>
        <w:t>وتحافظ على سجلات المحاسبة الخاصة بـ</w:t>
      </w:r>
      <w:r w:rsidRPr="006D488F">
        <w:rPr>
          <w:rFonts w:ascii="inherit" w:eastAsia="Times New Roman" w:hAnsi="inherit" w:cs="Segoe UI"/>
          <w:color w:val="FFFFFF"/>
          <w:sz w:val="23"/>
          <w:szCs w:val="23"/>
        </w:rPr>
        <w:t xml:space="preserve"> TDA. </w:t>
      </w:r>
      <w:r w:rsidRPr="006D488F">
        <w:rPr>
          <w:rFonts w:ascii="inherit" w:eastAsia="Times New Roman" w:hAnsi="inherit" w:cs="Segoe UI"/>
          <w:color w:val="FFFFFF"/>
          <w:sz w:val="23"/>
          <w:szCs w:val="23"/>
          <w:rtl/>
        </w:rPr>
        <w:t>مصدر التمويل الأساسي لـ</w:t>
      </w:r>
      <w:r w:rsidRPr="006D488F">
        <w:rPr>
          <w:rFonts w:ascii="inherit" w:eastAsia="Times New Roman" w:hAnsi="inherit" w:cs="Segoe UI"/>
          <w:color w:val="FFFFFF"/>
          <w:sz w:val="23"/>
          <w:szCs w:val="23"/>
        </w:rPr>
        <w:t xml:space="preserve"> TDA </w:t>
      </w:r>
      <w:r w:rsidRPr="006D488F">
        <w:rPr>
          <w:rFonts w:ascii="inherit" w:eastAsia="Times New Roman" w:hAnsi="inherit" w:cs="Segoe UI"/>
          <w:color w:val="FFFFFF"/>
          <w:sz w:val="23"/>
          <w:szCs w:val="23"/>
          <w:rtl/>
        </w:rPr>
        <w:t>هو من برنامج بلوك للتنمية المجتمعية. تتطلب معايير المحاسبة الحكومية في باركين فصلًا قابلًا للمساءلة بين الحكومة الأولية (بما في ذلك وحدات المكونات المخلوطة) ووحداتها المكونة بشكل متميز ، سواء في البيانات المالية أو في الملاحظات ذات الصلة والمطلوب في هذا المجال</w:t>
      </w:r>
      <w:r w:rsidRPr="006D488F">
        <w:rPr>
          <w:rFonts w:ascii="inherit" w:eastAsia="Times New Roman" w:hAnsi="inherit" w:cs="Segoe UI"/>
          <w:color w:val="FFFFFF"/>
          <w:sz w:val="23"/>
          <w:szCs w:val="23"/>
        </w:rPr>
        <w:t>- Anthnrite CTPA ") - rp. mentorv informstinn Recanes the diserete</w:t>
      </w:r>
      <w:r w:rsidR="004E25C9">
        <w:rPr>
          <w:rFonts w:ascii="inherit" w:eastAsia="Times New Roman" w:hAnsi="inherit" w:cs="Segoe UI"/>
          <w:color w:val="FFFFFF"/>
          <w:sz w:val="23"/>
          <w:szCs w:val="23"/>
        </w:rPr>
        <w:t>lv nrosente</w:t>
      </w:r>
    </w:p>
    <w:p w:rsidR="006D488F" w:rsidRPr="006D488F" w:rsidRDefault="006D488F" w:rsidP="00C840E1">
      <w:pPr>
        <w:shd w:val="clear" w:color="auto" w:fill="0084FF"/>
        <w:spacing w:line="240" w:lineRule="auto"/>
        <w:rPr>
          <w:rFonts w:ascii="inherit" w:eastAsia="Times New Roman" w:hAnsi="inherit" w:cs="Segoe UI"/>
          <w:color w:val="FFFFFF"/>
          <w:sz w:val="23"/>
          <w:szCs w:val="23"/>
        </w:rPr>
      </w:pPr>
      <w:r w:rsidRPr="006D488F">
        <w:rPr>
          <w:rFonts w:ascii="inherit" w:eastAsia="Times New Roman" w:hAnsi="inherit" w:cs="Segoe UI"/>
          <w:color w:val="FFFFFF"/>
          <w:sz w:val="23"/>
          <w:szCs w:val="23"/>
          <w:rtl/>
        </w:rPr>
        <w:t xml:space="preserve">٦٢٠ اﻟﻔﺻل ١٥ اﻟﺗﺻﺣﯾﺢ اﻟﻣﺎﻟﻲ ﺗوھﺎ ، أوﮐﯾﺎوﻣﺎ ﯾُﺣﻔظ ﻋﻟﯽ ﺑﮐﺎﮐس إﺻدارات ﻣﺎﻟﯾﺔ ، ھﻧﺎك ﺣﺎﻻت ﻣﺣدودة ﺣﯾث ﯾﮐون ﻣرﺟﻊ ﻣﻼﺣظﺔ ﺧﺎص ﻟﺷرﮐﺔ </w:t>
      </w:r>
      <w:r w:rsidRPr="006D488F">
        <w:rPr>
          <w:rFonts w:ascii="inherit" w:eastAsia="Times New Roman" w:hAnsi="inherit" w:cs="Segoe UI"/>
          <w:color w:val="FFFFFF"/>
          <w:sz w:val="23"/>
          <w:szCs w:val="23"/>
        </w:rPr>
        <w:t xml:space="preserve">Tulsa Ieduril AuborityCTIA - ﯾﻘﺗﺿﻲ </w:t>
      </w:r>
      <w:r w:rsidRPr="006D488F">
        <w:rPr>
          <w:rFonts w:ascii="inherit" w:eastAsia="Times New Roman" w:hAnsi="inherit" w:cs="Segoe UI"/>
          <w:color w:val="FFFFFF"/>
          <w:sz w:val="23"/>
          <w:szCs w:val="23"/>
          <w:rtl/>
        </w:rPr>
        <w:t xml:space="preserve">اﻷﻣر أن ﯾﮐون ھﻧﺎك ﺣﺎﺟﺔ إﻟﯽ ﺟﻔﺎف اﻟﻣدﯾرﯾﺔ. إذا لم يتم إجراء إعادة تأهيل منفصلة للمدينة ، فسيتم إجراء تعديل على العداد من خلال المدينة وفريق العمل الإضافي </w:t>
      </w:r>
      <w:r w:rsidRPr="006D488F">
        <w:rPr>
          <w:rFonts w:ascii="inherit" w:eastAsia="Times New Roman" w:hAnsi="inherit" w:cs="Segoe UI"/>
          <w:color w:val="FFFFFF"/>
          <w:sz w:val="23"/>
          <w:szCs w:val="23"/>
        </w:rPr>
        <w:t>x tl cnc</w:t>
      </w:r>
      <w:r w:rsidRPr="006D488F">
        <w:rPr>
          <w:rFonts w:ascii="inherit" w:eastAsia="Times New Roman" w:hAnsi="inherit" w:cs="Segoe UI"/>
          <w:color w:val="FFFFFF"/>
          <w:sz w:val="23"/>
          <w:szCs w:val="23"/>
          <w:rtl/>
        </w:rPr>
        <w:t xml:space="preserve"> أو </w:t>
      </w:r>
      <w:r w:rsidRPr="006D488F">
        <w:rPr>
          <w:rFonts w:ascii="inherit" w:eastAsia="Times New Roman" w:hAnsi="inherit" w:cs="Segoe UI"/>
          <w:color w:val="FFFFFF"/>
          <w:sz w:val="23"/>
          <w:szCs w:val="23"/>
        </w:rPr>
        <w:t>cateeorization</w:t>
      </w:r>
      <w:r w:rsidRPr="006D488F">
        <w:rPr>
          <w:rFonts w:ascii="inherit" w:eastAsia="Times New Roman" w:hAnsi="inherit" w:cs="Segoe UI"/>
          <w:color w:val="FFFFFF"/>
          <w:sz w:val="23"/>
          <w:szCs w:val="23"/>
          <w:rtl/>
        </w:rPr>
        <w:t xml:space="preserve"> ، يجب أن يكون </w:t>
      </w:r>
      <w:r w:rsidRPr="006D488F">
        <w:rPr>
          <w:rFonts w:ascii="inherit" w:eastAsia="Times New Roman" w:hAnsi="inherit" w:cs="Segoe UI"/>
          <w:color w:val="FFFFFF"/>
          <w:sz w:val="23"/>
          <w:szCs w:val="23"/>
        </w:rPr>
        <w:t>weerme</w:t>
      </w:r>
      <w:r w:rsidRPr="006D488F">
        <w:rPr>
          <w:rFonts w:ascii="inherit" w:eastAsia="Times New Roman" w:hAnsi="inherit" w:cs="Segoe UI"/>
          <w:color w:val="FFFFFF"/>
          <w:sz w:val="23"/>
          <w:szCs w:val="23"/>
          <w:rtl/>
        </w:rPr>
        <w:t xml:space="preserve"> المعين من قبل العمدة والموافقة </w:t>
      </w:r>
      <w:r w:rsidRPr="006D488F">
        <w:rPr>
          <w:rFonts w:ascii="inherit" w:eastAsia="Times New Roman" w:hAnsi="inherit" w:cs="Segoe UI"/>
          <w:color w:val="FFFFFF"/>
          <w:sz w:val="23"/>
          <w:szCs w:val="23"/>
          <w:rtl/>
        </w:rPr>
        <w:lastRenderedPageBreak/>
        <w:t xml:space="preserve">عليه من قبل </w:t>
      </w:r>
      <w:r w:rsidR="00C840E1">
        <w:rPr>
          <w:rFonts w:ascii="inherit" w:eastAsia="Times New Roman" w:hAnsi="inherit" w:cs="Segoe UI" w:hint="cs"/>
          <w:color w:val="FFFFFF"/>
          <w:sz w:val="23"/>
          <w:szCs w:val="23"/>
          <w:rtl/>
        </w:rPr>
        <w:t xml:space="preserve">مجلس المدينة </w:t>
      </w:r>
      <w:r w:rsidRPr="006D488F">
        <w:rPr>
          <w:rFonts w:ascii="inherit" w:eastAsia="Times New Roman" w:hAnsi="inherit" w:cs="Segoe UI"/>
          <w:color w:val="FFFFFF"/>
          <w:sz w:val="23"/>
          <w:szCs w:val="23"/>
          <w:rtl/>
        </w:rPr>
        <w:t xml:space="preserve"> تطوير البكتيريا الأيديولوجية تلك المعلومات المقدمة بالتساوي</w:t>
      </w:r>
      <w:r w:rsidRPr="006D488F">
        <w:rPr>
          <w:rFonts w:ascii="inherit" w:eastAsia="Times New Roman" w:hAnsi="inherit" w:cs="Segoe UI"/>
          <w:color w:val="FFFFFF"/>
          <w:sz w:val="23"/>
          <w:szCs w:val="23"/>
        </w:rPr>
        <w:t xml:space="preserve">. </w:t>
      </w:r>
      <w:r w:rsidRPr="006D488F">
        <w:rPr>
          <w:rFonts w:ascii="inherit" w:eastAsia="Times New Roman" w:hAnsi="inherit" w:cs="Segoe UI"/>
          <w:color w:val="FFFFFF"/>
          <w:sz w:val="23"/>
          <w:szCs w:val="23"/>
          <w:rtl/>
        </w:rPr>
        <w:t xml:space="preserve">تقوم السندات مدينة دبي وتتوافق مع عائدات المنظمة الكائنة. ب- المشاريع المشتركة والعلاقات ذات الصلة التي تربطها بالمؤسسات. 1. مشروع جنت. المشروع المشترك هو كيان قانوني أو منظمة أخرى. ينتج من اتفاقية تعاقدية والتي يتم شدها أو تشغيلها أو تحكمها من قبل مشاركين أو أكثر كما هو الحال مع </w:t>
      </w:r>
      <w:r w:rsidRPr="006D488F">
        <w:rPr>
          <w:rFonts w:ascii="inherit" w:eastAsia="Times New Roman" w:hAnsi="inherit" w:cs="Segoe UI"/>
          <w:color w:val="FFFFFF"/>
          <w:sz w:val="23"/>
          <w:szCs w:val="23"/>
        </w:rPr>
        <w:t>TIA</w:t>
      </w:r>
      <w:r w:rsidRPr="006D488F">
        <w:rPr>
          <w:rFonts w:ascii="inherit" w:eastAsia="Times New Roman" w:hAnsi="inherit" w:cs="Segoe UI"/>
          <w:color w:val="FFFFFF"/>
          <w:sz w:val="23"/>
          <w:szCs w:val="23"/>
          <w:rtl/>
        </w:rPr>
        <w:t xml:space="preserve"> و </w:t>
      </w:r>
      <w:r w:rsidRPr="006D488F">
        <w:rPr>
          <w:rFonts w:ascii="inherit" w:eastAsia="Times New Roman" w:hAnsi="inherit" w:cs="Segoe UI"/>
          <w:color w:val="FFFFFF"/>
          <w:sz w:val="23"/>
          <w:szCs w:val="23"/>
        </w:rPr>
        <w:t>Cy ammes</w:t>
      </w:r>
      <w:r w:rsidRPr="006D488F">
        <w:rPr>
          <w:rFonts w:ascii="inherit" w:eastAsia="Times New Roman" w:hAnsi="inherit" w:cs="Segoe UI"/>
          <w:color w:val="FFFFFF"/>
          <w:sz w:val="23"/>
          <w:szCs w:val="23"/>
          <w:rtl/>
        </w:rPr>
        <w:t xml:space="preserve"> بدون استجابة للقدرة على التمويل ، كالتنبؤات الخاصة بـ </w:t>
      </w:r>
      <w:r w:rsidRPr="006D488F">
        <w:rPr>
          <w:rFonts w:ascii="inherit" w:eastAsia="Times New Roman" w:hAnsi="inherit" w:cs="Segoe UI"/>
          <w:color w:val="FFFFFF"/>
          <w:sz w:val="23"/>
          <w:szCs w:val="23"/>
        </w:rPr>
        <w:t>eparate</w:t>
      </w:r>
      <w:r w:rsidRPr="006D488F">
        <w:rPr>
          <w:rFonts w:ascii="inherit" w:eastAsia="Times New Roman" w:hAnsi="inherit" w:cs="Segoe UI"/>
          <w:color w:val="FFFFFF"/>
          <w:sz w:val="23"/>
          <w:szCs w:val="23"/>
          <w:rtl/>
        </w:rPr>
        <w:t xml:space="preserve"> والنشاط المحدد الخاضع للتكلفة المشتركة في </w:t>
      </w:r>
      <w:r w:rsidRPr="006D488F">
        <w:rPr>
          <w:rFonts w:ascii="inherit" w:eastAsia="Times New Roman" w:hAnsi="inherit" w:cs="Segoe UI"/>
          <w:color w:val="FFFFFF"/>
          <w:sz w:val="23"/>
          <w:szCs w:val="23"/>
        </w:rPr>
        <w:t>Aunhority</w:t>
      </w:r>
      <w:r w:rsidRPr="006D488F">
        <w:rPr>
          <w:rFonts w:ascii="inherit" w:eastAsia="Times New Roman" w:hAnsi="inherit" w:cs="Segoe UI"/>
          <w:color w:val="FFFFFF"/>
          <w:sz w:val="23"/>
          <w:szCs w:val="23"/>
          <w:rtl/>
        </w:rPr>
        <w:t xml:space="preserve"> ومع ذلك ، فإن ما قام به المشاركون ، وهو ما يحتفظ به المشاركون (أ) مالية مستمرة في مدينة تورنتو ، أو (ب) لا يستثني من المسؤولية المالية المستمرة من قبل دائرة الشؤون البلدية ، والكنسي الكنسي يشارك في المشاريع المشتركة التالية هو </w:t>
      </w:r>
      <w:r w:rsidRPr="006D488F">
        <w:rPr>
          <w:rFonts w:ascii="inherit" w:eastAsia="Times New Roman" w:hAnsi="inherit" w:cs="Segoe UI"/>
          <w:color w:val="FFFFFF"/>
          <w:sz w:val="23"/>
          <w:szCs w:val="23"/>
        </w:rPr>
        <w:t>EMSA</w:t>
      </w:r>
      <w:r w:rsidRPr="006D488F">
        <w:rPr>
          <w:rFonts w:ascii="inherit" w:eastAsia="Times New Roman" w:hAnsi="inherit" w:cs="Segoe UI"/>
          <w:color w:val="FFFFFF"/>
          <w:sz w:val="23"/>
          <w:szCs w:val="23"/>
          <w:rtl/>
        </w:rPr>
        <w:t xml:space="preserve"> الثقة التي تم إنشاؤها لتوفير أعضاء الطوارئ في مدينة </w:t>
      </w:r>
      <w:r w:rsidRPr="006D488F">
        <w:rPr>
          <w:rFonts w:ascii="inherit" w:eastAsia="Times New Roman" w:hAnsi="inherit" w:cs="Segoe UI"/>
          <w:color w:val="FFFFFF"/>
          <w:sz w:val="23"/>
          <w:szCs w:val="23"/>
        </w:rPr>
        <w:t>TRCAThe</w:t>
      </w:r>
      <w:r w:rsidRPr="006D488F">
        <w:rPr>
          <w:rFonts w:ascii="inherit" w:eastAsia="Times New Roman" w:hAnsi="inherit" w:cs="Segoe UI"/>
          <w:color w:val="FFFFFF"/>
          <w:sz w:val="23"/>
          <w:szCs w:val="23"/>
          <w:rtl/>
        </w:rPr>
        <w:t xml:space="preserve"> لا توفر الرعاية الطبية والنقل كما يتم رعايتها من خلال تمويل صندوق من عشرة أعضاء </w:t>
      </w:r>
      <w:r w:rsidRPr="006D488F">
        <w:rPr>
          <w:rFonts w:ascii="inherit" w:eastAsia="Times New Roman" w:hAnsi="inherit" w:cs="Segoe UI"/>
          <w:color w:val="FFFFFF"/>
          <w:sz w:val="23"/>
          <w:szCs w:val="23"/>
        </w:rPr>
        <w:t>TRCPA</w:t>
      </w:r>
      <w:r w:rsidRPr="006D488F">
        <w:rPr>
          <w:rFonts w:ascii="inherit" w:eastAsia="Times New Roman" w:hAnsi="inherit" w:cs="Segoe UI"/>
          <w:color w:val="FFFFFF"/>
          <w:sz w:val="23"/>
          <w:szCs w:val="23"/>
          <w:rtl/>
        </w:rPr>
        <w:t xml:space="preserve"> مكون من خمسة من المعينين أوم مدينة تولسا أوف-ج وخمسة من مدن وبلدات أوكلاهوما الأخرى. وفقا لاتفاق المشروع المشترك ، تولسا و- سيزي ا ف ب خمسة من أعضاء دائرة مدينة هيث التسعة. يحق للمستهلكين في مدينة أوكلاهوما سيتي ، أي حصة من الدخل أو الخسارة التشغيلية. يبلغ صافي استثمار المدينة في مدينة توهس - مقاطعة هيلد ديبرتمانز </w:t>
      </w:r>
      <w:r w:rsidRPr="006D488F">
        <w:rPr>
          <w:rFonts w:ascii="inherit" w:eastAsia="Times New Roman" w:hAnsi="inherit" w:cs="Segoe UI"/>
          <w:color w:val="FFFFFF"/>
          <w:sz w:val="23"/>
          <w:szCs w:val="23"/>
        </w:rPr>
        <w:t>EMSA 9</w:t>
      </w:r>
      <w:r w:rsidRPr="006D488F">
        <w:rPr>
          <w:rFonts w:ascii="inherit" w:eastAsia="Times New Roman" w:hAnsi="inherit" w:cs="Times New Roman"/>
          <w:color w:val="FFFFFF"/>
          <w:sz w:val="23"/>
          <w:szCs w:val="23"/>
          <w:rtl/>
        </w:rPr>
        <w:t>،</w:t>
      </w:r>
      <w:r w:rsidRPr="006D488F">
        <w:rPr>
          <w:rFonts w:ascii="inherit" w:eastAsia="Times New Roman" w:hAnsi="inherit" w:cs="Segoe UI"/>
          <w:color w:val="FFFFFF"/>
          <w:sz w:val="23"/>
          <w:szCs w:val="23"/>
        </w:rPr>
        <w:t xml:space="preserve">630 $ </w:t>
      </w:r>
      <w:r w:rsidRPr="006D488F">
        <w:rPr>
          <w:rFonts w:ascii="inherit" w:eastAsia="Times New Roman" w:hAnsi="inherit" w:cs="Segoe UI"/>
          <w:color w:val="FFFFFF"/>
          <w:sz w:val="23"/>
          <w:szCs w:val="23"/>
          <w:rtl/>
        </w:rPr>
        <w:t xml:space="preserve">ناتجة عن صافي دخل </w:t>
      </w:r>
      <w:r w:rsidRPr="006D488F">
        <w:rPr>
          <w:rFonts w:ascii="inherit" w:eastAsia="Times New Roman" w:hAnsi="inherit" w:cs="Segoe UI"/>
          <w:color w:val="FFFFFF"/>
          <w:sz w:val="23"/>
          <w:szCs w:val="23"/>
        </w:rPr>
        <w:t>EMSA</w:t>
      </w:r>
      <w:r w:rsidRPr="006D488F">
        <w:rPr>
          <w:rFonts w:ascii="inherit" w:eastAsia="Times New Roman" w:hAnsi="inherit" w:cs="Segoe UI"/>
          <w:color w:val="FFFFFF"/>
          <w:sz w:val="23"/>
          <w:szCs w:val="23"/>
          <w:rtl/>
        </w:rPr>
        <w:t xml:space="preserve"> أي مكتبة مقاطعة تولسا في مدينة تسكا - مقاطعة 20) </w:t>
      </w:r>
      <w:r w:rsidRPr="006D488F">
        <w:rPr>
          <w:rFonts w:ascii="inherit" w:eastAsia="Times New Roman" w:hAnsi="inherit" w:cs="Segoe UI"/>
          <w:color w:val="FFFFFF"/>
          <w:sz w:val="23"/>
          <w:szCs w:val="23"/>
        </w:rPr>
        <w:t>x4</w:t>
      </w:r>
      <w:r w:rsidRPr="006D488F">
        <w:rPr>
          <w:rFonts w:ascii="inherit" w:eastAsia="Times New Roman" w:hAnsi="inherit" w:cs="Segoe UI"/>
          <w:color w:val="FFFFFF"/>
          <w:sz w:val="23"/>
          <w:szCs w:val="23"/>
          <w:rtl/>
        </w:rPr>
        <w:t xml:space="preserve"> والسنوات السابقة. يمكن الحصول على بيانات مالية كاملة لـ </w:t>
      </w:r>
      <w:r w:rsidRPr="006D488F">
        <w:rPr>
          <w:rFonts w:ascii="inherit" w:eastAsia="Times New Roman" w:hAnsi="inherit" w:cs="Segoe UI"/>
          <w:color w:val="FFFFFF"/>
          <w:sz w:val="23"/>
          <w:szCs w:val="23"/>
        </w:rPr>
        <w:t>EMSA</w:t>
      </w:r>
      <w:r w:rsidRPr="006D488F">
        <w:rPr>
          <w:rFonts w:ascii="inherit" w:eastAsia="Times New Roman" w:hAnsi="inherit" w:cs="Segoe UI"/>
          <w:color w:val="FFFFFF"/>
          <w:sz w:val="23"/>
          <w:szCs w:val="23"/>
          <w:rtl/>
        </w:rPr>
        <w:t xml:space="preserve"> من المدير التنفيذي </w:t>
      </w:r>
      <w:r w:rsidRPr="006D488F">
        <w:rPr>
          <w:rFonts w:ascii="inherit" w:eastAsia="Times New Roman" w:hAnsi="inherit" w:cs="Segoe UI"/>
          <w:color w:val="FFFFFF"/>
          <w:sz w:val="23"/>
          <w:szCs w:val="23"/>
        </w:rPr>
        <w:t>EMSA. 1417</w:t>
      </w:r>
      <w:r w:rsidRPr="006D488F">
        <w:rPr>
          <w:rFonts w:ascii="inherit" w:eastAsia="Times New Roman" w:hAnsi="inherit" w:cs="Segoe UI"/>
          <w:color w:val="FFFFFF"/>
          <w:sz w:val="23"/>
          <w:szCs w:val="23"/>
          <w:rtl/>
        </w:rPr>
        <w:t xml:space="preserve"> شمال لانسينغ. تولسا ، اوكلاهوما 74106 ط المدينة لا تشرع في مقاطعة توها-مدينة مقاطعة مع مقاطعة تولسا في مشروع مشترك لتشغيل </w:t>
      </w:r>
      <w:r w:rsidRPr="006D488F">
        <w:rPr>
          <w:rFonts w:ascii="inherit" w:eastAsia="Times New Roman" w:hAnsi="inherit" w:cs="Segoe UI"/>
          <w:color w:val="FFFFFF"/>
          <w:sz w:val="23"/>
          <w:szCs w:val="23"/>
        </w:rPr>
        <w:t>intain</w:t>
      </w:r>
      <w:r w:rsidRPr="006D488F">
        <w:rPr>
          <w:rFonts w:ascii="inherit" w:eastAsia="Times New Roman" w:hAnsi="inherit" w:cs="Segoe UI"/>
          <w:color w:val="FFFFFF"/>
          <w:sz w:val="23"/>
          <w:szCs w:val="23"/>
          <w:rtl/>
        </w:rPr>
        <w:t xml:space="preserve"> حديقة على طول نهر أركنساس. تم إنشاء </w:t>
      </w:r>
      <w:r w:rsidRPr="006D488F">
        <w:rPr>
          <w:rFonts w:ascii="inherit" w:eastAsia="Times New Roman" w:hAnsi="inherit" w:cs="Segoe UI"/>
          <w:color w:val="FFFFFF"/>
          <w:sz w:val="23"/>
          <w:szCs w:val="23"/>
        </w:rPr>
        <w:t>RPA</w:t>
      </w:r>
      <w:r w:rsidRPr="006D488F">
        <w:rPr>
          <w:rFonts w:ascii="inherit" w:eastAsia="Times New Roman" w:hAnsi="inherit" w:cs="Segoe UI"/>
          <w:color w:val="FFFFFF"/>
          <w:sz w:val="23"/>
          <w:szCs w:val="23"/>
          <w:rtl/>
        </w:rPr>
        <w:t xml:space="preserve"> ، ثقة ، لهذا الغرض. تساهم مدينتا مدينة وتوزا في ميزانية التشغيل السنوية المكونة من سبع عمليات تنظيمية منظمة من قبل </w:t>
      </w:r>
      <w:r w:rsidRPr="006D488F">
        <w:rPr>
          <w:rFonts w:ascii="inherit" w:eastAsia="Times New Roman" w:hAnsi="inherit" w:cs="Segoe UI"/>
          <w:color w:val="FFFFFF"/>
          <w:sz w:val="23"/>
          <w:szCs w:val="23"/>
        </w:rPr>
        <w:t xml:space="preserve">JAINinte. </w:t>
      </w:r>
      <w:r w:rsidRPr="006D488F">
        <w:rPr>
          <w:rFonts w:ascii="inherit" w:eastAsia="Times New Roman" w:hAnsi="inherit" w:cs="Segoe UI"/>
          <w:color w:val="FFFFFF"/>
          <w:sz w:val="23"/>
          <w:szCs w:val="23"/>
          <w:rtl/>
        </w:rPr>
        <w:t xml:space="preserve">المنظمة التالية منظمة منظمة بشكل مشترك مستثناة من الكيان المبلَّغ عن إعداد التقارير. هذا 3 </w:t>
      </w:r>
      <w:r w:rsidRPr="006D488F">
        <w:rPr>
          <w:rFonts w:ascii="inherit" w:eastAsia="Times New Roman" w:hAnsi="inherit" w:cs="Segoe UI"/>
          <w:color w:val="FFFFFF"/>
          <w:sz w:val="23"/>
          <w:szCs w:val="23"/>
        </w:rPr>
        <w:t xml:space="preserve">RPA. </w:t>
      </w:r>
      <w:r w:rsidRPr="006D488F">
        <w:rPr>
          <w:rFonts w:ascii="inherit" w:eastAsia="Times New Roman" w:hAnsi="inherit" w:cs="Segoe UI"/>
          <w:color w:val="FFFFFF"/>
          <w:sz w:val="23"/>
          <w:szCs w:val="23"/>
          <w:rtl/>
        </w:rPr>
        <w:t xml:space="preserve">مجلس الأمناء هو </w:t>
      </w:r>
      <w:r w:rsidRPr="006D488F">
        <w:rPr>
          <w:rFonts w:ascii="inherit" w:eastAsia="Times New Roman" w:hAnsi="inherit" w:cs="Segoe UI"/>
          <w:color w:val="FFFFFF"/>
          <w:sz w:val="23"/>
          <w:szCs w:val="23"/>
        </w:rPr>
        <w:t>B RPA</w:t>
      </w:r>
      <w:r w:rsidRPr="006D488F">
        <w:rPr>
          <w:rFonts w:ascii="inherit" w:eastAsia="Times New Roman" w:hAnsi="inherit" w:cs="Segoe UI"/>
          <w:color w:val="FFFFFF"/>
          <w:sz w:val="23"/>
          <w:szCs w:val="23"/>
          <w:rtl/>
        </w:rPr>
        <w:t xml:space="preserve"> يمكن الحصول عليه من </w:t>
      </w:r>
      <w:r w:rsidRPr="006D488F">
        <w:rPr>
          <w:rFonts w:ascii="inherit" w:eastAsia="Times New Roman" w:hAnsi="inherit" w:cs="Segoe UI"/>
          <w:color w:val="FFFFFF"/>
          <w:sz w:val="23"/>
          <w:szCs w:val="23"/>
        </w:rPr>
        <w:t>Exccutiv</w:t>
      </w:r>
      <w:r w:rsidRPr="006D488F">
        <w:rPr>
          <w:rFonts w:ascii="inherit" w:eastAsia="Times New Roman" w:hAnsi="inherit" w:cs="Segoe UI"/>
          <w:color w:val="FFFFFF"/>
          <w:sz w:val="23"/>
          <w:szCs w:val="23"/>
          <w:rtl/>
        </w:rPr>
        <w:t xml:space="preserve"> ليس لديه مصلحة في هذه المؤسسة. إن ثلاثة أعضاء معينين من قبل المدينة ، ليسوا مشروعًا مشتركًا لأن المدينة لا تحتفظ بأمور مالية جارية أو مقاطعة مستمرة ، وواحدة من قبل لجنة تخطيط منطقة توكا الحضرية. بيانات مالية كاملة للمدير الإلكتروني. 717 </w:t>
      </w:r>
      <w:r w:rsidRPr="006D488F">
        <w:rPr>
          <w:rFonts w:ascii="inherit" w:eastAsia="Times New Roman" w:hAnsi="inherit" w:cs="Segoe UI"/>
          <w:color w:val="FFFFFF"/>
          <w:sz w:val="23"/>
          <w:szCs w:val="23"/>
        </w:rPr>
        <w:t>S. Houston</w:t>
      </w:r>
      <w:r w:rsidRPr="006D488F">
        <w:rPr>
          <w:rFonts w:ascii="inherit" w:eastAsia="Times New Roman" w:hAnsi="inherit" w:cs="Segoe UI"/>
          <w:color w:val="FFFFFF"/>
          <w:sz w:val="23"/>
          <w:szCs w:val="23"/>
          <w:rtl/>
        </w:rPr>
        <w:t xml:space="preserve">، </w:t>
      </w:r>
      <w:r w:rsidRPr="006D488F">
        <w:rPr>
          <w:rFonts w:ascii="inherit" w:eastAsia="Times New Roman" w:hAnsi="inherit" w:cs="Segoe UI"/>
          <w:color w:val="FFFFFF"/>
          <w:sz w:val="23"/>
          <w:szCs w:val="23"/>
        </w:rPr>
        <w:t>Suite 10</w:t>
      </w:r>
      <w:r w:rsidRPr="006D488F">
        <w:rPr>
          <w:rFonts w:ascii="inherit" w:eastAsia="Times New Roman" w:hAnsi="inherit" w:cs="Segoe UI"/>
          <w:color w:val="FFFFFF"/>
          <w:sz w:val="23"/>
          <w:szCs w:val="23"/>
          <w:rtl/>
        </w:rPr>
        <w:t xml:space="preserve">، </w:t>
      </w:r>
      <w:r w:rsidRPr="006D488F">
        <w:rPr>
          <w:rFonts w:ascii="inherit" w:eastAsia="Times New Roman" w:hAnsi="inherit" w:cs="Segoe UI"/>
          <w:color w:val="FFFFFF"/>
          <w:sz w:val="23"/>
          <w:szCs w:val="23"/>
        </w:rPr>
        <w:t>Tulsa</w:t>
      </w:r>
      <w:r w:rsidRPr="006D488F">
        <w:rPr>
          <w:rFonts w:ascii="inherit" w:eastAsia="Times New Roman" w:hAnsi="inherit" w:cs="Segoe UI"/>
          <w:color w:val="FFFFFF"/>
          <w:sz w:val="23"/>
          <w:szCs w:val="23"/>
          <w:rtl/>
        </w:rPr>
        <w:t xml:space="preserve">، </w:t>
      </w:r>
      <w:r w:rsidRPr="006D488F">
        <w:rPr>
          <w:rFonts w:ascii="inherit" w:eastAsia="Times New Roman" w:hAnsi="inherit" w:cs="Segoe UI"/>
          <w:color w:val="FFFFFF"/>
          <w:sz w:val="23"/>
          <w:szCs w:val="23"/>
        </w:rPr>
        <w:t>Oklahoma 74127</w:t>
      </w:r>
      <w:r w:rsidRPr="006D488F">
        <w:rPr>
          <w:rFonts w:ascii="inherit" w:eastAsia="Times New Roman" w:hAnsi="inherit" w:cs="Segoe UI"/>
          <w:color w:val="FFFFFF"/>
          <w:sz w:val="23"/>
          <w:szCs w:val="23"/>
          <w:rtl/>
        </w:rPr>
        <w:t xml:space="preserve">، </w:t>
      </w:r>
      <w:r w:rsidRPr="006D488F">
        <w:rPr>
          <w:rFonts w:ascii="inherit" w:eastAsia="Times New Roman" w:hAnsi="inherit" w:cs="Segoe UI"/>
          <w:color w:val="FFFFFF"/>
          <w:sz w:val="23"/>
          <w:szCs w:val="23"/>
        </w:rPr>
        <w:t>The City The City</w:t>
      </w:r>
      <w:r w:rsidRPr="006D488F">
        <w:rPr>
          <w:rFonts w:ascii="inherit" w:eastAsia="Times New Roman" w:hAnsi="inherit" w:cs="Segoe UI"/>
          <w:color w:val="FFFFFF"/>
          <w:sz w:val="23"/>
          <w:szCs w:val="23"/>
          <w:rtl/>
        </w:rPr>
        <w:t xml:space="preserve">، وبالتعاون مع مقاطعة تولسا والبلديات الأخرى ، أنشأ المؤسسة التالية: </w:t>
      </w:r>
      <w:r w:rsidRPr="006D488F">
        <w:rPr>
          <w:rFonts w:ascii="inherit" w:eastAsia="Times New Roman" w:hAnsi="inherit" w:cs="Segoe UI"/>
          <w:color w:val="FFFFFF"/>
          <w:sz w:val="23"/>
          <w:szCs w:val="23"/>
        </w:rPr>
        <w:t>TCCIA-The TCCIA</w:t>
      </w:r>
      <w:r w:rsidRPr="006D488F">
        <w:rPr>
          <w:rFonts w:ascii="inherit" w:eastAsia="Times New Roman" w:hAnsi="inherit" w:cs="Segoe UI"/>
          <w:color w:val="FFFFFF"/>
          <w:sz w:val="23"/>
          <w:szCs w:val="23"/>
          <w:rtl/>
        </w:rPr>
        <w:t xml:space="preserve"> تم إنشاؤه لغرض الحصول على موقع وإقامة مزبلة. التجهيز ، العمليات 2 المنظمات وغيرها من مرافق الاعتقال التي يملكها أو يشغلها تولسا مسؤولو </w:t>
      </w:r>
      <w:r w:rsidRPr="006D488F">
        <w:rPr>
          <w:rFonts w:ascii="inherit" w:eastAsia="Times New Roman" w:hAnsi="inherit" w:cs="Segoe UI"/>
          <w:color w:val="FFFFFF"/>
          <w:sz w:val="23"/>
          <w:szCs w:val="23"/>
        </w:rPr>
        <w:t>City'v</w:t>
      </w:r>
      <w:r w:rsidRPr="006D488F">
        <w:rPr>
          <w:rFonts w:ascii="inherit" w:eastAsia="Times New Roman" w:hAnsi="inherit" w:cs="Segoe UI"/>
          <w:color w:val="FFFFFF"/>
          <w:sz w:val="23"/>
          <w:szCs w:val="23"/>
          <w:rtl/>
        </w:rPr>
        <w:t xml:space="preserve"> هم أيضا مسؤولين عن تعيين مقاطعة. يتم إدارة </w:t>
      </w:r>
      <w:r w:rsidRPr="006D488F">
        <w:rPr>
          <w:rFonts w:ascii="inherit" w:eastAsia="Times New Roman" w:hAnsi="inherit" w:cs="Segoe UI"/>
          <w:color w:val="FFFFFF"/>
          <w:sz w:val="23"/>
          <w:szCs w:val="23"/>
        </w:rPr>
        <w:t>TCCJA</w:t>
      </w:r>
      <w:r w:rsidRPr="006D488F">
        <w:rPr>
          <w:rFonts w:ascii="inherit" w:eastAsia="Times New Roman" w:hAnsi="inherit" w:cs="Segoe UI"/>
          <w:color w:val="FFFFFF"/>
          <w:sz w:val="23"/>
          <w:szCs w:val="23"/>
          <w:rtl/>
        </w:rPr>
        <w:t xml:space="preserve"> من قبل سبعة أشخاص من أعضاء مجلس إدارة أعضاء المنظمات الأخرى. ومع ذلك ، فإن الأمناء يتألفون من ثلاثة مفوضين من مقاطعة تولسا ، ومساءلة المدينة عن تلك المنظمات لا تخرج مدينة </w:t>
      </w:r>
      <w:r w:rsidRPr="006D488F">
        <w:rPr>
          <w:rFonts w:ascii="inherit" w:eastAsia="Times New Roman" w:hAnsi="inherit" w:cs="Segoe UI"/>
          <w:color w:val="FFFFFF"/>
          <w:sz w:val="23"/>
          <w:szCs w:val="23"/>
        </w:rPr>
        <w:t xml:space="preserve">Tuha (Exicio Trustees "). </w:t>
      </w:r>
      <w:r w:rsidRPr="006D488F">
        <w:rPr>
          <w:rFonts w:ascii="inherit" w:eastAsia="Times New Roman" w:hAnsi="inherit" w:cs="Segoe UI"/>
          <w:color w:val="FFFFFF"/>
          <w:sz w:val="23"/>
          <w:szCs w:val="23"/>
          <w:rtl/>
        </w:rPr>
        <w:t xml:space="preserve">تميل إلى أبعد من إجراء التعيينات المستثناة من الكيان المبلِّغ وعُمداء ثلاث مدن إضافية. تقع المنظمات التالية ذات الصلة أو جزء منها ضمن حدود مقاطعة تولسا ، حيث لا تقدم الجهة المدينة أي تمويل إلى </w:t>
      </w:r>
      <w:r w:rsidRPr="006D488F">
        <w:rPr>
          <w:rFonts w:ascii="inherit" w:eastAsia="Times New Roman" w:hAnsi="inherit" w:cs="Segoe UI"/>
          <w:color w:val="FFFFFF"/>
          <w:sz w:val="23"/>
          <w:szCs w:val="23"/>
        </w:rPr>
        <w:t>TCCIA</w:t>
      </w:r>
    </w:p>
    <w:p w:rsidR="006D488F" w:rsidRPr="004E25C9" w:rsidRDefault="006D488F" w:rsidP="004E25C9">
      <w:pPr>
        <w:shd w:val="clear" w:color="auto" w:fill="0084FF"/>
        <w:spacing w:line="240" w:lineRule="auto"/>
        <w:rPr>
          <w:rFonts w:ascii="inherit" w:eastAsia="Times New Roman" w:hAnsi="inherit" w:cs="Segoe UI" w:hint="cs"/>
          <w:color w:val="FFFFFF"/>
          <w:sz w:val="23"/>
          <w:szCs w:val="23"/>
          <w:rtl/>
          <w:lang w:bidi="ar-IQ"/>
        </w:rPr>
      </w:pPr>
      <w:r w:rsidRPr="006D488F">
        <w:rPr>
          <w:rFonts w:ascii="inherit" w:eastAsia="Times New Roman" w:hAnsi="inherit" w:cs="Segoe UI"/>
          <w:color w:val="FFFFFF"/>
          <w:sz w:val="23"/>
          <w:szCs w:val="23"/>
          <w:rtl/>
        </w:rPr>
        <w:t xml:space="preserve">فيما يتعلق بالدمج بين المكونات 621 يتضمن دمج البيانات الخاصة بالبيانات كما لو كانت الوحدات الرئيسية هي البيانات المالية للصندوق ووحدات المكون المختلطة الإلكترونية في الكيان القانوني للتعاقد المالي وكل الكيان القانوني المعزول المرتبط به. ﺑﯾﺎﻧﺎت وﺣدات اﻟﺗﺷﮐﯾل اﻟﻣﻐطﺎة ﻣﺿﻣﻧﺔ ﻓﻲ اﻟﺑﯾﺎﻧﺎت اﻟﻣﺎﻟﯾﺔ وﺑﻧﺎء ﻋﻟﯽ ذﻟك ، ﺗﺟﻣﻊ اﻟﺣﮐوﻣﺔ اﻷوﻟﯾﺔ ﺑﯾﺎﻧﺎت اﻟوﺣدات اﻟﻣﮐوﻧﺔ اﻟﻣﺧﺗﻟطﺔ اﻟﻣﺧﺗﻟطﺔ ﻣﻊ ﺑﯾﺎﻧﺎت أﻧواع اﻟﺻﻧﺎدﯾق اﻟﻣﻧﺎﺳﺑﺔ و </w:t>
      </w:r>
      <w:r w:rsidRPr="006D488F">
        <w:rPr>
          <w:rFonts w:ascii="inherit" w:eastAsia="Times New Roman" w:hAnsi="inherit" w:cs="Segoe UI"/>
          <w:color w:val="FFFFFF"/>
          <w:sz w:val="23"/>
          <w:szCs w:val="23"/>
        </w:rPr>
        <w:t>GCA-GLTL ﺑﺣﺳﺎ</w:t>
      </w:r>
      <w:r w:rsidRPr="006D488F">
        <w:rPr>
          <w:rFonts w:ascii="inherit" w:eastAsia="Times New Roman" w:hAnsi="inherit" w:cs="Segoe UI"/>
          <w:color w:val="FFFFFF"/>
          <w:sz w:val="23"/>
          <w:szCs w:val="23"/>
          <w:rtl/>
        </w:rPr>
        <w:t xml:space="preserve">ب اﻟﮐﯾﺎن اﻟﻘﺎﻧوﻧﻲ اﻟﺣﮐوﻣﻲ اﻷﺳﺎﺳﻲ. يتم الإبلاغ عن بعض الوحدات المكونة كصندوق واحد. يتم الإبلاغ عن الوحدات المكونة المختلطة الأخرى في </w:t>
      </w:r>
      <w:r w:rsidRPr="006D488F">
        <w:rPr>
          <w:rFonts w:ascii="inherit" w:eastAsia="Times New Roman" w:hAnsi="inherit" w:cs="Segoe UI"/>
          <w:color w:val="FFFFFF"/>
          <w:sz w:val="23"/>
          <w:szCs w:val="23"/>
        </w:rPr>
        <w:t>severs</w:t>
      </w:r>
      <w:r w:rsidRPr="006D488F">
        <w:rPr>
          <w:rFonts w:ascii="inherit" w:eastAsia="Times New Roman" w:hAnsi="inherit" w:cs="Segoe UI"/>
          <w:color w:val="FFFFFF"/>
          <w:sz w:val="23"/>
          <w:szCs w:val="23"/>
          <w:rtl/>
        </w:rPr>
        <w:t xml:space="preserve"> ، ويتم الإبلاغ عن أموال الوحدات المكونة على أنها الأنواع نفسها باستثناء تصنيف صندوق واحد هو أن الأموال العامة لوحدة المكون العامة في بيانات الكيان القانوني الحكومي الأساسي يتم التعامل معه كصندوق الإيرادات الخاصة للحكومة الأولية عند المخلوطة. ﯾﻌﮐس ھذا اﻟﺗﺻﻧﯾف أﻧﮫ ﯾﺟب اﺳﺗﺧدام ﻣوارد اﻟﺻﻧدوق اﻟﻌﺎم ﻟﻟوﺣدة اﻟﻣﮐوﻧﺔ ﻓﻘط ﻷﻏراض وﺣدة اﻟﻌﻧﺎﺻر اﻟﻣﮐوﻧﺔ ھذه. وﺑﺎﻟﺗﺎﻟﻲ ، ﻓﺈن اﻟﺻﻧدوق اﻟﻌﺎم ﻟﻟﮐﯾﺎن اﻟﻘﺎﻧوﻧﻲ ھو اﻟﺻﻧدوق اﻟﻌﺎم ﻟﻟﺣﮐوﻣﺔ اﻷﺳﺎﺳﯾﺔ ﻟﻟﺟﮭﺔ اﻟﻣﺑﻟﻐﺔ. ﮐل ﺻﻧدوق وﺣدة ﻣﮐوﻧﺔ ﻣﺧﺗﻟطﺔ ھو ﺻﻧدوق رﺋﯾﺳﻲ ﻟﻟﺣﮐوﻣﺔ اﻷوﻟﯾﺔ اﻟﻣﻘدﻣﺔ ﻓﻲ ﻋﻣود ﻣﻧﻔﺻل ﻓﻲ اﻟﺣﺎﻻت اﻟﻣﺎﻟﯾﺔ ﻟﻟﺻﻧدوق. يتم الإبلاغ عن الأصول الرأسمالية العامة والالتزامات طويلة الأجل العامة للوحدة المكونة الممزوجة مع الأصول الرأسمالية الأخرى للأنشطة الحكومية والخصوم طويلة الأجل في البيانات المالية على مستوى الحكومة. ينص مجلس معايير المحاسبة الحكومية على أن البيانات الخاصة بالكيان الممزوج هي ، الحكومة الأساسية الموضوعية - هي نقطة الاهتمام الرئيسية لمستخدمي التقارير المالية للحكومات. بالنسبة للعديد من الحكومات (إن لم يكن معظمها) ، فإن هذا الكيان سيشمل الكيان القانوني فقط ، ولن يكون لديه أي وحدات مكون مختلط بيانات منفصلة عن بيانات </w:t>
      </w:r>
      <w:r w:rsidRPr="006D488F">
        <w:rPr>
          <w:rFonts w:ascii="inherit" w:eastAsia="Times New Roman" w:hAnsi="inherit" w:cs="Segoe UI"/>
          <w:color w:val="FFFFFF"/>
          <w:sz w:val="23"/>
          <w:szCs w:val="23"/>
          <w:rtl/>
        </w:rPr>
        <w:lastRenderedPageBreak/>
        <w:t>مكونات العرض جنبا إلى جنب مع بيانات حكومية أساسية في البيانات المالية على مستوى الحكومة ، ولكن منفصلة عنها. صياغات. العرض التقديمي المنفصل مطلوب لمعظم الوحدات المكونة. وﻳﺸﻴﺮ ﻧﻬﺞ اﻹﺑﻼغ هﺬا إﻟﻰ أن اﻟﻮﺣﺪات اﻟﻤﻜﻮﻧﺔ ﺑﺼﻮرة ﻏﻴﺮ ﻣﺸﺮوﻋﺔ ﺗﺤﻈﻰ ﺑﺎهﺘﻤﺎم ﺛﺎﻧﻮي ﻟﻤﺴﺘﺨﺪﻣﻲ اﻟﺒﻴﺎﻧﺎت اﻟﻤﺎﻟﻴﺔ. لذلك ، فإن نظرة عامة واسعة على وحدات "</w:t>
      </w:r>
      <w:r w:rsidRPr="006D488F">
        <w:rPr>
          <w:rFonts w:ascii="inherit" w:eastAsia="Times New Roman" w:hAnsi="inherit" w:cs="Segoe UI"/>
          <w:color w:val="FFFFFF"/>
          <w:sz w:val="23"/>
          <w:szCs w:val="23"/>
        </w:rPr>
        <w:t xml:space="preserve">componcnt" </w:t>
      </w:r>
      <w:r w:rsidRPr="006D488F">
        <w:rPr>
          <w:rFonts w:ascii="inherit" w:eastAsia="Times New Roman" w:hAnsi="inherit" w:cs="Segoe UI"/>
          <w:color w:val="FFFFFF"/>
          <w:sz w:val="23"/>
          <w:szCs w:val="23"/>
          <w:rtl/>
        </w:rPr>
        <w:t xml:space="preserve">هذه "المركز المالي ونتائج التشغيل المفترض أنها ستوفر عرضًا تقديميًا وافياً كافياً للعرض العادل في سياق الكيان المُبلّغ عنه. الوحدات المكونة بشكل غير صحيح (التي لا تتضمن الوحدات المكونة ذات الطابع الاستئماني) مدرجة في بيانات الدولة المالية المالية على مستوى الحكومة ، كما هو موضح في الفصل 13. وهي غير مدرجة في صناديق االستثمار ، حيث يتم إدراج الوحدات المكونة لالئتمانية مثل خطط المعاشات التقاعدية المستقلة قانونًا في البيانات المالية للصناديق االستئمانية. التي يتم تضمينها في البيانات المالية على مستوى الحكومة ، تستند إلى البيانات الإجمالية للوحدات المكونة للكيان (بما في ذلك البيانات من الوحدات المكونة لوحدات الوحدات ، إن وجدت) .ويجب على الحكومات الإبلاغ عن بيانات الوحدات المكونة بشكل منفصل في بطريقة تشير بوضوح إلى أنها ليست جزءًا من الحكومة الأولية وبالتالي ، فإن كل حكومة على مستوى الحكومة يعرض البيان المالي الأنشطة الحكومية الحكومية الأولية "وأنشطة الأنشطة التجارية" في إطار عمود "الوحدات الأولية". يقوم المكون المنفصل (المنفصل) بتجميع جميع الوحدات المكونة للحكومة بشكل منفصل ، وفي الطرف الآخر ، قد يتم الإبلاغ عن كل وحدة مكونة بشكل منفصل في عدة أعمدة ، وتكون درجات مختلفة من تجميع الوحدات المكونة بين هذه الوحدات. اثنين من النقيضين بيان </w:t>
      </w:r>
      <w:r w:rsidRPr="006D488F">
        <w:rPr>
          <w:rFonts w:ascii="inherit" w:eastAsia="Times New Roman" w:hAnsi="inherit" w:cs="Segoe UI"/>
          <w:color w:val="FFFFFF"/>
          <w:sz w:val="23"/>
          <w:szCs w:val="23"/>
        </w:rPr>
        <w:t>GASB</w:t>
      </w:r>
      <w:r w:rsidRPr="006D488F">
        <w:rPr>
          <w:rFonts w:ascii="inherit" w:eastAsia="Times New Roman" w:hAnsi="inherit" w:cs="Segoe UI"/>
          <w:color w:val="FFFFFF"/>
          <w:sz w:val="23"/>
          <w:szCs w:val="23"/>
          <w:rtl/>
        </w:rPr>
        <w:t xml:space="preserve"> رقم 61 يشير إلى أن عوامل مثل أهمية الترانسكينكتين مع </w:t>
      </w:r>
      <w:r w:rsidRPr="006D488F">
        <w:rPr>
          <w:rFonts w:ascii="inherit" w:eastAsia="Times New Roman" w:hAnsi="inherit" w:cs="Segoe UI"/>
          <w:color w:val="FFFFFF"/>
          <w:sz w:val="23"/>
          <w:szCs w:val="23"/>
        </w:rPr>
        <w:t>nnit comnent</w:t>
      </w:r>
      <w:r w:rsidRPr="006D488F">
        <w:rPr>
          <w:rFonts w:ascii="inherit" w:eastAsia="Times New Roman" w:hAnsi="inherit" w:cs="Segoe UI"/>
          <w:color w:val="FFFFFF"/>
          <w:sz w:val="23"/>
          <w:szCs w:val="23"/>
          <w:rtl/>
        </w:rPr>
        <w:t xml:space="preserve"> في </w:t>
      </w:r>
      <w:r w:rsidRPr="006D488F">
        <w:rPr>
          <w:rFonts w:ascii="inherit" w:eastAsia="Times New Roman" w:hAnsi="inherit" w:cs="Segoe UI"/>
          <w:color w:val="FFFFFF"/>
          <w:sz w:val="23"/>
          <w:szCs w:val="23"/>
        </w:rPr>
        <w:t>sianificance</w:t>
      </w:r>
      <w:r w:rsidRPr="006D488F">
        <w:rPr>
          <w:rFonts w:ascii="inherit" w:eastAsia="Times New Roman" w:hAnsi="inherit" w:cs="Segoe UI"/>
          <w:color w:val="FFFFFF"/>
          <w:sz w:val="23"/>
          <w:szCs w:val="23"/>
          <w:rtl/>
        </w:rPr>
        <w:t xml:space="preserve"> س</w:t>
      </w:r>
    </w:p>
    <w:p w:rsidR="006D488F" w:rsidRPr="006D488F" w:rsidRDefault="006D488F" w:rsidP="006D488F">
      <w:pPr>
        <w:shd w:val="clear" w:color="auto" w:fill="0084FF"/>
        <w:spacing w:line="240" w:lineRule="auto"/>
        <w:rPr>
          <w:rFonts w:ascii="inherit" w:eastAsia="Times New Roman" w:hAnsi="inherit" w:cs="Segoe UI"/>
          <w:color w:val="FFFFFF"/>
          <w:sz w:val="23"/>
          <w:szCs w:val="23"/>
        </w:rPr>
      </w:pPr>
      <w:r w:rsidRPr="006D488F">
        <w:rPr>
          <w:rFonts w:ascii="inherit" w:eastAsia="Times New Roman" w:hAnsi="inherit" w:cs="Segoe UI"/>
          <w:color w:val="FFFFFF"/>
          <w:sz w:val="23"/>
          <w:szCs w:val="23"/>
          <w:rtl/>
        </w:rPr>
        <w:t xml:space="preserve">622 اﻟﻔﺻل 15 اﻟﺗﻘﺎرﯾر اﻟﻣﺎﻟﯾﺔ ﻓﻲ اﻟﺑﯾﺎﻧﺎت اﻟﻣﺎﻟﯾﺔ اﻷﺳﺎﺳﯾﺔ أو اﻟﻣﻼﺣظﺎت ﻋﻟﯽ ﺑﯾﺎﻧﺎت اﻟﻣﺟﻟس. معظم الحكومات تلبي هذا الشرط إما عن طريق الإفصاح عن البيان المالي المكثف لكل وحدة مكونة رئيسية في المذكرات الموضحة في مذكرة التفصيل. صندوق الاستئمان 13-8 التمويل المالي </w:t>
      </w:r>
      <w:r w:rsidRPr="006D488F">
        <w:rPr>
          <w:rFonts w:ascii="inherit" w:eastAsia="Times New Roman" w:hAnsi="inherit" w:cs="Segoe UI"/>
          <w:color w:val="FFFFFF"/>
          <w:sz w:val="23"/>
          <w:szCs w:val="23"/>
        </w:rPr>
        <w:t>statemients</w:t>
      </w:r>
      <w:r w:rsidRPr="006D488F">
        <w:rPr>
          <w:rFonts w:ascii="inherit" w:eastAsia="Times New Roman" w:hAnsi="inherit" w:cs="Segoe UI"/>
          <w:color w:val="FFFFFF"/>
          <w:sz w:val="23"/>
          <w:szCs w:val="23"/>
          <w:rtl/>
        </w:rPr>
        <w:t xml:space="preserve"> المالية </w:t>
      </w:r>
      <w:r w:rsidRPr="006D488F">
        <w:rPr>
          <w:rFonts w:ascii="inherit" w:eastAsia="Times New Roman" w:hAnsi="inherit" w:cs="Segoe UI"/>
          <w:color w:val="FFFFFF"/>
          <w:sz w:val="23"/>
          <w:szCs w:val="23"/>
        </w:rPr>
        <w:t>Matementa</w:t>
      </w:r>
      <w:r w:rsidRPr="006D488F">
        <w:rPr>
          <w:rFonts w:ascii="inherit" w:eastAsia="Times New Roman" w:hAnsi="inherit" w:cs="Segoe UI"/>
          <w:color w:val="FFFFFF"/>
          <w:sz w:val="23"/>
          <w:szCs w:val="23"/>
          <w:rtl/>
        </w:rPr>
        <w:t xml:space="preserve"> الحد الأدنى من التفاصيل التي يتم إلغاءها في نانصيب المالية الرئيسية المكثفة في معظم الحالات ، تقوم الوحدات المكونة المستقلة أيضًا بإعداد بياناتها المالية الخارجية الخاصة بها. في هذه الحالات ، يقتصر التقرير المطلوب في تقرير إيماءة الحكومة الأولية على العروض في بياناتها المالية على نطاق الحكومة ، ربما مع بعض لاحظ الإفصاحات كما هو موضح سابقا. ومع ذلك ، إذا كان تقرير الحكومة الأولية هو التقرير المالي الخارجي الوحيد للوحدة المكونة ، فستكون المعلومات الإضافية عن وحدة المكونات مطلوبة في البيانات المالية للصندوق وبيانات الإفصاح. على سبيل المثال ، افترض أن وحدة مكون المستقطعة لها صندوقها الخاص بها داخليًا وأن البيانات المالية الخارجية المنفصلة لم يتم إعدادها الحد الأدنى للتحصيل المالي المكثف إفصاحات بيان المركز المالي الصافي بيان الأصول الرأسمالية أصول أخرى مع تقارير منفصلة عن المبالغ المستحقة من </w:t>
      </w:r>
      <w:r w:rsidRPr="006D488F">
        <w:rPr>
          <w:rFonts w:ascii="inherit" w:eastAsia="Times New Roman" w:hAnsi="inherit" w:cs="Segoe UI"/>
          <w:color w:val="FFFFFF"/>
          <w:sz w:val="23"/>
          <w:szCs w:val="23"/>
        </w:rPr>
        <w:t>PG</w:t>
      </w:r>
      <w:r w:rsidRPr="006D488F">
        <w:rPr>
          <w:rFonts w:ascii="inherit" w:eastAsia="Times New Roman" w:hAnsi="inherit" w:cs="Segoe UI"/>
          <w:color w:val="FFFFFF"/>
          <w:sz w:val="23"/>
          <w:szCs w:val="23"/>
          <w:rtl/>
        </w:rPr>
        <w:t xml:space="preserve"> أو غيرها اﻟوﺣدات اﻟﻣﮐوﻧﺔ اﻟ ﻣطﻟوﺑﺎت اﻟ ﮐﺎﻣﻟﺔ اﻟدﯾون اﻟﻣﺗﻣﯾز ة اﻟﻣﺗﻌﻟﻘﺔ ﺑﺎﻟدﯾون طوﯾﻟﺔ اﻷﺟل اﻟﻘﺎﺋﻣﺔ اﻟﻣطﻟوﺑﺎت اﻷﺧرى ، ﻣﻊ اﻹﺑﻼغ اﻟﻣﻧﻔﺻل ﻋن اﻟﻣﺑﺎﻟﻎ اﻟﻣﺳﺗﺣﻘﺔ اﻟدﻓﻊ ﻣن </w:t>
      </w:r>
      <w:r w:rsidRPr="006D488F">
        <w:rPr>
          <w:rFonts w:ascii="inherit" w:eastAsia="Times New Roman" w:hAnsi="inherit" w:cs="Segoe UI"/>
          <w:color w:val="FFFFFF"/>
          <w:sz w:val="23"/>
          <w:szCs w:val="23"/>
        </w:rPr>
        <w:t>PG</w:t>
      </w:r>
      <w:r w:rsidRPr="006D488F">
        <w:rPr>
          <w:rFonts w:ascii="inherit" w:eastAsia="Times New Roman" w:hAnsi="inherit" w:cs="Segoe UI"/>
          <w:color w:val="FFFFFF"/>
          <w:sz w:val="23"/>
          <w:szCs w:val="23"/>
          <w:rtl/>
        </w:rPr>
        <w:t xml:space="preserve"> أو اﻟوﺣدات اﻟﻣﮐوﻧﺔ اﻷﺧرى اﻟﻣوﻗﻊ اﻟﻣﺗﻣﯾز ﺑﯾن اﻟﺻﺎﻓﻲ ﻏﯾر اﻟﻣﻘﯾد اﻟوﺿﻊ اﻟﺻﺎﻓﻲ اﻟﻣﻘﯾود ﺻﺎﻓﻲ اﻻﺳﺗﺛﻣﺎر ﻓﻲ اﻷﺻول اﻟرأﺳﻣﺎﻟﯾﺔ ﺑﯾﺎن اﻷﻓﻌﺎل اﻟﻣﺧﺗﺻرة. المصروفات (عن طريق الوظائف أو البرامج الرئيسية ومصروفات الإهلاك ، إذا كانت منفصلة ، إيرادات البرنامج (حسب النوع ، على سبيل المثال ، رسوم الخدمات ، المنح الرأسمالية ، ومنح التشغيل) المبلغ عنها) إيرادات الضرائب (التي تعد إيرادات عامة بالتعريف) الإيرادات العامة لغير الصناديق مساهمات للأوقاف ومبالغ رأس المال الدائم "البنود والبنود الاستثنائية جنرال الكتريك في صافي المركز. بداية المركز الصافي. إنهاء مركز صافي بيان التدفقات النقدية المتفق عليها. صافي النقد المقدم (المستخدم) بواسطة الأنشطة التشغيلية الأنشطة غير المالية للتمويل رأس المال وأنشطة التمويل ذات الصلة أنشطة الاستثمار أرصدة النقد والنقدية المعادلة إنهاء الأرصدة النقدية والنقدية المعادلة</w:t>
      </w:r>
    </w:p>
    <w:p w:rsidR="006D488F" w:rsidRPr="006D488F" w:rsidRDefault="006D488F" w:rsidP="006D488F">
      <w:pPr>
        <w:shd w:val="clear" w:color="auto" w:fill="FFFFFF"/>
        <w:bidi w:val="0"/>
        <w:spacing w:after="15" w:line="240" w:lineRule="auto"/>
        <w:outlineLvl w:val="4"/>
        <w:rPr>
          <w:rFonts w:ascii="inherit" w:eastAsia="Times New Roman" w:hAnsi="inherit" w:cs="Segoe UI"/>
          <w:color w:val="1D2129"/>
          <w:sz w:val="20"/>
          <w:szCs w:val="20"/>
          <w:lang w:bidi="ar-IQ"/>
        </w:rPr>
      </w:pPr>
    </w:p>
    <w:p w:rsidR="006D488F" w:rsidRPr="004E25C9" w:rsidRDefault="006D488F" w:rsidP="004E25C9">
      <w:pPr>
        <w:shd w:val="clear" w:color="auto" w:fill="0084FF"/>
        <w:spacing w:line="240" w:lineRule="auto"/>
        <w:rPr>
          <w:rFonts w:ascii="inherit" w:eastAsia="Times New Roman" w:hAnsi="inherit" w:cs="Segoe UI"/>
          <w:color w:val="FFFFFF"/>
          <w:sz w:val="23"/>
          <w:szCs w:val="23"/>
          <w:rtl/>
          <w:lang w:bidi="ar-IQ"/>
        </w:rPr>
      </w:pPr>
      <w:r w:rsidRPr="006D488F">
        <w:rPr>
          <w:rFonts w:ascii="inherit" w:eastAsia="Times New Roman" w:hAnsi="inherit" w:cs="Segoe UI"/>
          <w:color w:val="FFFFFF"/>
          <w:sz w:val="23"/>
          <w:szCs w:val="23"/>
          <w:rtl/>
        </w:rPr>
        <w:t xml:space="preserve">تعول </w:t>
      </w:r>
      <w:r w:rsidRPr="006D488F">
        <w:rPr>
          <w:rFonts w:ascii="inherit" w:eastAsia="Times New Roman" w:hAnsi="inherit" w:cs="Segoe UI"/>
          <w:color w:val="FFFFFF"/>
          <w:sz w:val="23"/>
          <w:szCs w:val="23"/>
        </w:rPr>
        <w:t xml:space="preserve">entiny. </w:t>
      </w:r>
      <w:r w:rsidRPr="006D488F">
        <w:rPr>
          <w:rFonts w:ascii="inherit" w:eastAsia="Times New Roman" w:hAnsi="inherit" w:cs="Segoe UI"/>
          <w:color w:val="FFFFFF"/>
          <w:sz w:val="23"/>
          <w:szCs w:val="23"/>
          <w:rtl/>
        </w:rPr>
        <w:t xml:space="preserve">و </w:t>
      </w:r>
      <w:r w:rsidRPr="006D488F">
        <w:rPr>
          <w:rFonts w:ascii="inherit" w:eastAsia="Times New Roman" w:hAnsi="inherit" w:cs="Segoe UI"/>
          <w:color w:val="FFFFFF"/>
          <w:sz w:val="23"/>
          <w:szCs w:val="23"/>
        </w:rPr>
        <w:t>goveromem</w:t>
      </w:r>
      <w:r w:rsidRPr="006D488F">
        <w:rPr>
          <w:rFonts w:ascii="inherit" w:eastAsia="Times New Roman" w:hAnsi="inherit" w:cs="Segoe UI"/>
          <w:color w:val="FFFFFF"/>
          <w:sz w:val="23"/>
          <w:szCs w:val="23"/>
          <w:rtl/>
        </w:rPr>
        <w:t xml:space="preserve"> الأساسي </w:t>
      </w:r>
      <w:r w:rsidRPr="006D488F">
        <w:rPr>
          <w:rFonts w:ascii="inherit" w:eastAsia="Times New Roman" w:hAnsi="inherit" w:cs="Segoe UI"/>
          <w:color w:val="FFFFFF"/>
          <w:sz w:val="23"/>
          <w:szCs w:val="23"/>
        </w:rPr>
        <w:t>woudld nsed uo inclads et minimun eparate fundrry component Servk wd uwsay funds ponent unit neod to be inated the note dledeesres sf e government</w:t>
      </w:r>
      <w:r w:rsidRPr="006D488F">
        <w:rPr>
          <w:rFonts w:ascii="inherit" w:eastAsia="Times New Roman" w:hAnsi="inherit" w:cs="Segoe UI"/>
          <w:color w:val="FFFFFF"/>
          <w:sz w:val="23"/>
          <w:szCs w:val="23"/>
          <w:rtl/>
        </w:rPr>
        <w:t xml:space="preserve">، </w:t>
      </w:r>
      <w:r w:rsidRPr="006D488F">
        <w:rPr>
          <w:rFonts w:ascii="inherit" w:eastAsia="Times New Roman" w:hAnsi="inherit" w:cs="Segoe UI"/>
          <w:color w:val="FFFFFF"/>
          <w:sz w:val="23"/>
          <w:szCs w:val="23"/>
        </w:rPr>
        <w:t>being certain thai the terentiated from any disctonue The article of the reponing requirements for coeposent nits ie thed</w:t>
      </w:r>
      <w:r w:rsidRPr="006D488F">
        <w:rPr>
          <w:rFonts w:ascii="inherit" w:eastAsia="Times New Roman" w:hAnsi="inherit" w:cs="Segoe UI"/>
          <w:color w:val="FFFFFF"/>
          <w:sz w:val="23"/>
          <w:szCs w:val="23"/>
          <w:rtl/>
        </w:rPr>
        <w:t xml:space="preserve"> كيان الرجال </w:t>
      </w:r>
      <w:r w:rsidRPr="006D488F">
        <w:rPr>
          <w:rFonts w:ascii="inherit" w:eastAsia="Times New Roman" w:hAnsi="inherit" w:cs="Segoe UI"/>
          <w:color w:val="FFFFFF"/>
          <w:sz w:val="23"/>
          <w:szCs w:val="23"/>
        </w:rPr>
        <w:t xml:space="preserve">definiton. </w:t>
      </w:r>
      <w:r w:rsidRPr="006D488F">
        <w:rPr>
          <w:rFonts w:ascii="inherit" w:eastAsia="Times New Roman" w:hAnsi="inherit" w:cs="Segoe UI"/>
          <w:color w:val="FFFFFF"/>
          <w:sz w:val="23"/>
          <w:szCs w:val="23"/>
          <w:rtl/>
        </w:rPr>
        <w:t xml:space="preserve">ويطلق على الكيان المبلَّغ المبلَّغ اسم الـ </w:t>
      </w:r>
      <w:r w:rsidRPr="006D488F">
        <w:rPr>
          <w:rFonts w:ascii="inherit" w:eastAsia="Times New Roman" w:hAnsi="inherit" w:cs="Segoe UI"/>
          <w:color w:val="FFFFFF"/>
          <w:sz w:val="23"/>
          <w:szCs w:val="23"/>
        </w:rPr>
        <w:t>pmay coed</w:t>
      </w:r>
      <w:r w:rsidRPr="006D488F">
        <w:rPr>
          <w:rFonts w:ascii="inherit" w:eastAsia="Times New Roman" w:hAnsi="inherit" w:cs="Segoe UI"/>
          <w:color w:val="FFFFFF"/>
          <w:sz w:val="23"/>
          <w:szCs w:val="23"/>
          <w:rtl/>
        </w:rPr>
        <w:t xml:space="preserve"> وهو النقطة المحورية في الريبون. في الواقع ، هو إعادة صهر على </w:t>
      </w:r>
      <w:r w:rsidRPr="006D488F">
        <w:rPr>
          <w:rFonts w:ascii="inherit" w:eastAsia="Times New Roman" w:hAnsi="inherit" w:cs="Segoe UI"/>
          <w:color w:val="FFFFFF"/>
          <w:sz w:val="23"/>
          <w:szCs w:val="23"/>
        </w:rPr>
        <w:t>fosal fosal a</w:t>
      </w:r>
      <w:r w:rsidRPr="006D488F">
        <w:rPr>
          <w:rFonts w:ascii="inherit" w:eastAsia="Times New Roman" w:hAnsi="inherit" w:cs="Segoe UI"/>
          <w:color w:val="FFFFFF"/>
          <w:sz w:val="23"/>
          <w:szCs w:val="23"/>
          <w:rtl/>
        </w:rPr>
        <w:t xml:space="preserve"> حكومة </w:t>
      </w:r>
      <w:r w:rsidRPr="006D488F">
        <w:rPr>
          <w:rFonts w:ascii="inherit" w:eastAsia="Times New Roman" w:hAnsi="inherit" w:cs="Segoe UI"/>
          <w:color w:val="FFFFFF"/>
          <w:sz w:val="23"/>
          <w:szCs w:val="23"/>
        </w:rPr>
        <w:t xml:space="preserve">iseucs statemesta. </w:t>
      </w:r>
      <w:r w:rsidRPr="006D488F">
        <w:rPr>
          <w:rFonts w:ascii="inherit" w:eastAsia="Times New Roman" w:hAnsi="inherit" w:cs="Segoe UI"/>
          <w:color w:val="FFFFFF"/>
          <w:sz w:val="23"/>
          <w:szCs w:val="23"/>
          <w:rtl/>
        </w:rPr>
        <w:t xml:space="preserve">يتم إضافة الوحدات </w:t>
      </w:r>
      <w:r w:rsidRPr="006D488F">
        <w:rPr>
          <w:rFonts w:ascii="inherit" w:eastAsia="Times New Roman" w:hAnsi="inherit" w:cs="Segoe UI"/>
          <w:color w:val="FFFFFF"/>
          <w:sz w:val="23"/>
          <w:szCs w:val="23"/>
        </w:rPr>
        <w:t>ponent pentent (dpcUs) pownent</w:t>
      </w:r>
      <w:r w:rsidRPr="006D488F">
        <w:rPr>
          <w:rFonts w:ascii="inherit" w:eastAsia="Times New Roman" w:hAnsi="inherit" w:cs="Segoe UI"/>
          <w:color w:val="FFFFFF"/>
          <w:sz w:val="23"/>
          <w:szCs w:val="23"/>
          <w:rtl/>
        </w:rPr>
        <w:t xml:space="preserve"> إلى </w:t>
      </w:r>
      <w:r w:rsidRPr="006D488F">
        <w:rPr>
          <w:rFonts w:ascii="inherit" w:eastAsia="Times New Roman" w:hAnsi="inherit" w:cs="Segoe UI"/>
          <w:color w:val="FFFFFF"/>
          <w:sz w:val="23"/>
          <w:szCs w:val="23"/>
        </w:rPr>
        <w:t>docUs</w:t>
      </w:r>
      <w:r w:rsidRPr="006D488F">
        <w:rPr>
          <w:rFonts w:ascii="inherit" w:eastAsia="Times New Roman" w:hAnsi="inherit" w:cs="Segoe UI"/>
          <w:color w:val="FFFFFF"/>
          <w:sz w:val="23"/>
          <w:szCs w:val="23"/>
          <w:rtl/>
        </w:rPr>
        <w:t xml:space="preserve"> إلى </w:t>
      </w:r>
      <w:r w:rsidRPr="006D488F">
        <w:rPr>
          <w:rFonts w:ascii="inherit" w:eastAsia="Times New Roman" w:hAnsi="inherit" w:cs="Segoe UI"/>
          <w:color w:val="FFFFFF"/>
          <w:sz w:val="23"/>
          <w:szCs w:val="23"/>
          <w:rtl/>
        </w:rPr>
        <w:lastRenderedPageBreak/>
        <w:t xml:space="preserve">الخلية المختلطة ، قراءة </w:t>
      </w:r>
      <w:r w:rsidRPr="006D488F">
        <w:rPr>
          <w:rFonts w:ascii="inherit" w:eastAsia="Times New Roman" w:hAnsi="inherit" w:cs="Segoe UI"/>
          <w:color w:val="FFFFFF"/>
          <w:sz w:val="23"/>
          <w:szCs w:val="23"/>
        </w:rPr>
        <w:t>ive "</w:t>
      </w:r>
      <w:r w:rsidRPr="006D488F">
        <w:rPr>
          <w:rFonts w:ascii="inherit" w:eastAsia="Times New Roman" w:hAnsi="inherit" w:cs="Segoe UI"/>
          <w:color w:val="FFFFFF"/>
          <w:sz w:val="23"/>
          <w:szCs w:val="23"/>
          <w:rtl/>
        </w:rPr>
        <w:t xml:space="preserve">أن </w:t>
      </w:r>
      <w:r w:rsidRPr="006D488F">
        <w:rPr>
          <w:rFonts w:ascii="inherit" w:eastAsia="Times New Roman" w:hAnsi="inherit" w:cs="Segoe UI"/>
          <w:color w:val="FFFFFF"/>
          <w:sz w:val="23"/>
          <w:szCs w:val="23"/>
        </w:rPr>
        <w:t>GASB</w:t>
      </w:r>
      <w:r w:rsidRPr="006D488F">
        <w:rPr>
          <w:rFonts w:ascii="inherit" w:eastAsia="Times New Roman" w:hAnsi="inherit" w:cs="Segoe UI"/>
          <w:color w:val="FFFFFF"/>
          <w:sz w:val="23"/>
          <w:szCs w:val="23"/>
          <w:rtl/>
        </w:rPr>
        <w:t xml:space="preserve"> يشير إلى أنه </w:t>
      </w:r>
      <w:r w:rsidRPr="006D488F">
        <w:rPr>
          <w:rFonts w:ascii="inherit" w:eastAsia="Times New Roman" w:hAnsi="inherit" w:cs="Segoe UI"/>
          <w:color w:val="FFFFFF"/>
          <w:sz w:val="23"/>
          <w:szCs w:val="23"/>
        </w:rPr>
        <w:t>enposing enmy Thue</w:t>
      </w:r>
      <w:r w:rsidRPr="006D488F">
        <w:rPr>
          <w:rFonts w:ascii="inherit" w:eastAsia="Times New Roman" w:hAnsi="inherit" w:cs="Segoe UI"/>
          <w:color w:val="FFFFFF"/>
          <w:sz w:val="23"/>
          <w:szCs w:val="23"/>
          <w:rtl/>
        </w:rPr>
        <w:t xml:space="preserve"> أنه من الواضح أن هذا الامتداد للكيان الذي يتم الرجوع وحدات مكون </w:t>
      </w:r>
      <w:r w:rsidRPr="006D488F">
        <w:rPr>
          <w:rFonts w:ascii="inherit" w:eastAsia="Times New Roman" w:hAnsi="inherit" w:cs="Segoe UI"/>
          <w:color w:val="FFFFFF"/>
          <w:sz w:val="23"/>
          <w:szCs w:val="23"/>
        </w:rPr>
        <w:t>t</w:t>
      </w:r>
      <w:r w:rsidRPr="006D488F">
        <w:rPr>
          <w:rFonts w:ascii="inherit" w:eastAsia="Times New Roman" w:hAnsi="inherit" w:cs="Segoe UI"/>
          <w:color w:val="FFFFFF"/>
          <w:sz w:val="23"/>
          <w:szCs w:val="23"/>
          <w:rtl/>
        </w:rPr>
        <w:t xml:space="preserve"> هو ثانوي ، وليس أساسي ، هذا العنصر الكيان الثانوي مهم جدا ، </w:t>
      </w:r>
      <w:r w:rsidRPr="006D488F">
        <w:rPr>
          <w:rFonts w:ascii="inherit" w:eastAsia="Times New Roman" w:hAnsi="inherit" w:cs="Segoe UI"/>
          <w:color w:val="FFFFFF"/>
          <w:sz w:val="23"/>
          <w:szCs w:val="23"/>
        </w:rPr>
        <w:t>eseas eyee</w:t>
      </w:r>
      <w:r w:rsidRPr="006D488F">
        <w:rPr>
          <w:rFonts w:ascii="inherit" w:eastAsia="Times New Roman" w:hAnsi="inherit" w:cs="Segoe UI"/>
          <w:color w:val="FFFFFF"/>
          <w:sz w:val="23"/>
          <w:szCs w:val="23"/>
          <w:rtl/>
        </w:rPr>
        <w:t xml:space="preserve"> أكبر في مجموع من </w:t>
      </w:r>
      <w:r w:rsidRPr="006D488F">
        <w:rPr>
          <w:rFonts w:ascii="inherit" w:eastAsia="Times New Roman" w:hAnsi="inherit" w:cs="Segoe UI"/>
          <w:color w:val="FFFFFF"/>
          <w:sz w:val="23"/>
          <w:szCs w:val="23"/>
        </w:rPr>
        <w:t>enticy</w:t>
      </w:r>
      <w:r w:rsidRPr="006D488F">
        <w:rPr>
          <w:rFonts w:ascii="inherit" w:eastAsia="Times New Roman" w:hAnsi="inherit" w:cs="Segoe UI"/>
          <w:color w:val="FFFFFF"/>
          <w:sz w:val="23"/>
          <w:szCs w:val="23"/>
          <w:rtl/>
        </w:rPr>
        <w:t xml:space="preserve"> البؤري (الكيان </w:t>
      </w:r>
      <w:r w:rsidRPr="006D488F">
        <w:rPr>
          <w:rFonts w:ascii="inherit" w:eastAsia="Times New Roman" w:hAnsi="inherit" w:cs="Segoe UI"/>
          <w:color w:val="FFFFFF"/>
          <w:sz w:val="23"/>
          <w:szCs w:val="23"/>
        </w:rPr>
        <w:t xml:space="preserve">nded goved). </w:t>
      </w:r>
      <w:r w:rsidRPr="006D488F">
        <w:rPr>
          <w:rFonts w:ascii="inherit" w:eastAsia="Times New Roman" w:hAnsi="inherit" w:cs="Segoe UI"/>
          <w:color w:val="FFFFFF"/>
          <w:sz w:val="23"/>
          <w:szCs w:val="23"/>
          <w:rtl/>
        </w:rPr>
        <w:t xml:space="preserve">المعلومات من تحليل الأخيرة من </w:t>
      </w:r>
      <w:r w:rsidRPr="006D488F">
        <w:rPr>
          <w:rFonts w:ascii="inherit" w:eastAsia="Times New Roman" w:hAnsi="inherit" w:cs="Segoe UI"/>
          <w:color w:val="FFFFFF"/>
          <w:sz w:val="23"/>
          <w:szCs w:val="23"/>
        </w:rPr>
        <w:t>rmpons</w:t>
      </w:r>
      <w:r w:rsidRPr="006D488F">
        <w:rPr>
          <w:rFonts w:ascii="inherit" w:eastAsia="Times New Roman" w:hAnsi="inherit" w:cs="Segoe UI"/>
          <w:color w:val="FFFFFF"/>
          <w:sz w:val="23"/>
          <w:szCs w:val="23"/>
          <w:rtl/>
        </w:rPr>
        <w:t xml:space="preserve"> المالية من </w:t>
      </w:r>
      <w:r w:rsidRPr="006D488F">
        <w:rPr>
          <w:rFonts w:ascii="inherit" w:eastAsia="Times New Roman" w:hAnsi="inherit" w:cs="Segoe UI"/>
          <w:color w:val="FFFFFF"/>
          <w:sz w:val="23"/>
          <w:szCs w:val="23"/>
        </w:rPr>
        <w:t>tue 50 salas</w:t>
      </w:r>
      <w:r w:rsidRPr="006D488F">
        <w:rPr>
          <w:rFonts w:ascii="inherit" w:eastAsia="Times New Roman" w:hAnsi="inherit" w:cs="Segoe UI"/>
          <w:color w:val="FFFFFF"/>
          <w:sz w:val="23"/>
          <w:szCs w:val="23"/>
          <w:rtl/>
        </w:rPr>
        <w:t xml:space="preserve"> يقدم وجهة نظر كيف </w:t>
      </w:r>
      <w:r w:rsidRPr="006D488F">
        <w:rPr>
          <w:rFonts w:ascii="inherit" w:eastAsia="Times New Roman" w:hAnsi="inherit" w:cs="Segoe UI"/>
          <w:color w:val="FFFFFF"/>
          <w:sz w:val="23"/>
          <w:szCs w:val="23"/>
        </w:rPr>
        <w:t>frequení</w:t>
      </w:r>
      <w:r w:rsidRPr="006D488F">
        <w:rPr>
          <w:rFonts w:ascii="inherit" w:eastAsia="Times New Roman" w:hAnsi="inherit" w:cs="Segoe UI"/>
          <w:color w:val="FFFFFF"/>
          <w:sz w:val="23"/>
          <w:szCs w:val="23"/>
          <w:rtl/>
        </w:rPr>
        <w:t xml:space="preserve"> و كيف تبرز الشركات الهامة أهمية التأكد من أن المعرفة البؤرية ، رواد البيئة الأولية ، يتم تعريفها بشكل صحيح ، والإحصاءات الواردة في 152 في البرجيس توفر هذه القيمة ، كما أن حجم </w:t>
      </w:r>
      <w:r w:rsidRPr="006D488F">
        <w:rPr>
          <w:rFonts w:ascii="inherit" w:eastAsia="Times New Roman" w:hAnsi="inherit" w:cs="Segoe UI"/>
          <w:color w:val="FFFFFF"/>
          <w:sz w:val="23"/>
          <w:szCs w:val="23"/>
        </w:rPr>
        <w:t>DPCUs</w:t>
      </w:r>
      <w:r w:rsidRPr="006D488F">
        <w:rPr>
          <w:rFonts w:ascii="inherit" w:eastAsia="Times New Roman" w:hAnsi="inherit" w:cs="Segoe UI"/>
          <w:color w:val="FFFFFF"/>
          <w:sz w:val="23"/>
          <w:szCs w:val="23"/>
          <w:rtl/>
        </w:rPr>
        <w:t xml:space="preserve"> النسبي لو </w:t>
      </w:r>
      <w:r w:rsidRPr="006D488F">
        <w:rPr>
          <w:rFonts w:ascii="inherit" w:eastAsia="Times New Roman" w:hAnsi="inherit" w:cs="Segoe UI"/>
          <w:color w:val="FFFFFF"/>
          <w:sz w:val="23"/>
          <w:szCs w:val="23"/>
        </w:rPr>
        <w:t>confi gvernsscnt</w:t>
      </w:r>
      <w:r w:rsidRPr="006D488F">
        <w:rPr>
          <w:rFonts w:ascii="inherit" w:eastAsia="Times New Roman" w:hAnsi="inherit" w:cs="Segoe UI"/>
          <w:color w:val="FFFFFF"/>
          <w:sz w:val="23"/>
          <w:szCs w:val="23"/>
          <w:rtl/>
        </w:rPr>
        <w:t xml:space="preserve"> الأساسي هو أمر رائع. عرضت الوحدة المكونة للوحدة الزائدة عن المطلوبات الكلية للحكم الابتدائي. على المتوسطات عرضت الوحدات المكونة بشكل منفصل و 3.5 مكونات مخلوطة. يجب معالجة القضايا في الجمع بين بيانات وحدات </w:t>
      </w:r>
      <w:r w:rsidRPr="006D488F">
        <w:rPr>
          <w:rFonts w:ascii="inherit" w:eastAsia="Times New Roman" w:hAnsi="inherit" w:cs="Segoe UI"/>
          <w:color w:val="FFFFFF"/>
          <w:sz w:val="23"/>
          <w:szCs w:val="23"/>
        </w:rPr>
        <w:t>comptigle compo nent</w:t>
      </w:r>
      <w:r w:rsidRPr="006D488F">
        <w:rPr>
          <w:rFonts w:ascii="inherit" w:eastAsia="Times New Roman" w:hAnsi="inherit" w:cs="Segoe UI"/>
          <w:color w:val="FFFFFF"/>
          <w:sz w:val="23"/>
          <w:szCs w:val="23"/>
          <w:rtl/>
        </w:rPr>
        <w:t xml:space="preserve"> في تقرير كيان تقرير واحد. وتشمل هذه العواصف </w:t>
      </w:r>
      <w:r w:rsidRPr="006D488F">
        <w:rPr>
          <w:rFonts w:ascii="inherit" w:eastAsia="Times New Roman" w:hAnsi="inherit" w:cs="Segoe UI"/>
          <w:color w:val="FFFFFF"/>
          <w:sz w:val="23"/>
          <w:szCs w:val="23"/>
        </w:rPr>
        <w:t>Transacions</w:t>
      </w:r>
      <w:r w:rsidRPr="006D488F">
        <w:rPr>
          <w:rFonts w:ascii="inherit" w:eastAsia="Times New Roman" w:hAnsi="inherit" w:cs="Segoe UI"/>
          <w:color w:val="FFFFFF"/>
          <w:sz w:val="23"/>
          <w:szCs w:val="23"/>
          <w:rtl/>
        </w:rPr>
        <w:t xml:space="preserve"> بين الحكومة الأولية و </w:t>
      </w:r>
      <w:r w:rsidRPr="006D488F">
        <w:rPr>
          <w:rFonts w:ascii="inherit" w:eastAsia="Times New Roman" w:hAnsi="inherit" w:cs="Segoe UI"/>
          <w:color w:val="FFFFFF"/>
          <w:sz w:val="23"/>
          <w:szCs w:val="23"/>
        </w:rPr>
        <w:t>Mended st</w:t>
      </w:r>
      <w:r w:rsidRPr="006D488F">
        <w:rPr>
          <w:rFonts w:ascii="inherit" w:eastAsia="Times New Roman" w:hAnsi="inherit" w:cs="Segoe UI"/>
          <w:color w:val="FFFFFF"/>
          <w:sz w:val="23"/>
          <w:szCs w:val="23"/>
          <w:rtl/>
        </w:rPr>
        <w:t xml:space="preserve"> كمعاملات </w:t>
      </w:r>
      <w:r w:rsidRPr="006D488F">
        <w:rPr>
          <w:rFonts w:ascii="inherit" w:eastAsia="Times New Roman" w:hAnsi="inherit" w:cs="Segoe UI"/>
          <w:color w:val="FFFFFF"/>
          <w:sz w:val="23"/>
          <w:szCs w:val="23"/>
        </w:rPr>
        <w:t>herween</w:t>
      </w:r>
      <w:r w:rsidRPr="006D488F">
        <w:rPr>
          <w:rFonts w:ascii="inherit" w:eastAsia="Times New Roman" w:hAnsi="inherit" w:cs="Segoe UI"/>
          <w:color w:val="FFFFFF"/>
          <w:sz w:val="23"/>
          <w:szCs w:val="23"/>
          <w:rtl/>
        </w:rPr>
        <w:t xml:space="preserve"> مختلفة مختلطة دمجت استدعاؤها </w:t>
      </w:r>
      <w:r w:rsidRPr="006D488F">
        <w:rPr>
          <w:rFonts w:ascii="inherit" w:eastAsia="Times New Roman" w:hAnsi="inherit" w:cs="Segoe UI"/>
          <w:color w:val="FFFFFF"/>
          <w:sz w:val="23"/>
          <w:szCs w:val="23"/>
        </w:rPr>
        <w:t>recdnnified</w:t>
      </w:r>
      <w:r w:rsidRPr="006D488F">
        <w:rPr>
          <w:rFonts w:ascii="inherit" w:eastAsia="Times New Roman" w:hAnsi="inherit" w:cs="Segoe UI"/>
          <w:color w:val="FFFFFF"/>
          <w:sz w:val="23"/>
          <w:szCs w:val="23"/>
          <w:rtl/>
        </w:rPr>
        <w:t xml:space="preserve"> استدعت كنشاط </w:t>
      </w:r>
      <w:r w:rsidRPr="006D488F">
        <w:rPr>
          <w:rFonts w:ascii="inherit" w:eastAsia="Times New Roman" w:hAnsi="inherit" w:cs="Segoe UI"/>
          <w:color w:val="FFFFFF"/>
          <w:sz w:val="23"/>
          <w:szCs w:val="23"/>
        </w:rPr>
        <w:t>interfand</w:t>
      </w:r>
      <w:r w:rsidRPr="006D488F">
        <w:rPr>
          <w:rFonts w:ascii="inherit" w:eastAsia="Times New Roman" w:hAnsi="inherit" w:cs="Segoe UI"/>
          <w:color w:val="FFFFFF"/>
          <w:sz w:val="23"/>
          <w:szCs w:val="23"/>
          <w:rtl/>
        </w:rPr>
        <w:t xml:space="preserve"> ماعدا ل </w:t>
      </w:r>
      <w:r w:rsidRPr="006D488F">
        <w:rPr>
          <w:rFonts w:ascii="inherit" w:eastAsia="Times New Roman" w:hAnsi="inherit" w:cs="Segoe UI"/>
          <w:color w:val="FFFFFF"/>
          <w:sz w:val="23"/>
          <w:szCs w:val="23"/>
        </w:rPr>
        <w:t>interfand oans</w:t>
      </w:r>
      <w:r w:rsidRPr="006D488F">
        <w:rPr>
          <w:rFonts w:ascii="inherit" w:eastAsia="Times New Roman" w:hAnsi="inherit" w:cs="Segoe UI"/>
          <w:color w:val="FFFFFF"/>
          <w:sz w:val="23"/>
          <w:szCs w:val="23"/>
          <w:rtl/>
        </w:rPr>
        <w:t xml:space="preserve"> ، ذكرت </w:t>
      </w:r>
      <w:r w:rsidRPr="006D488F">
        <w:rPr>
          <w:rFonts w:ascii="inherit" w:eastAsia="Times New Roman" w:hAnsi="inherit" w:cs="Segoe UI"/>
          <w:color w:val="FFFFFF"/>
          <w:sz w:val="23"/>
          <w:szCs w:val="23"/>
        </w:rPr>
        <w:t>fransactions</w:t>
      </w:r>
      <w:r w:rsidRPr="006D488F">
        <w:rPr>
          <w:rFonts w:ascii="inherit" w:eastAsia="Times New Roman" w:hAnsi="inherit" w:cs="Segoe UI"/>
          <w:color w:val="FFFFFF"/>
          <w:sz w:val="23"/>
          <w:szCs w:val="23"/>
          <w:rtl/>
        </w:rPr>
        <w:t xml:space="preserve"> الغسل </w:t>
      </w:r>
      <w:r w:rsidRPr="006D488F">
        <w:rPr>
          <w:rFonts w:ascii="inherit" w:eastAsia="Times New Roman" w:hAnsi="inherit" w:cs="Segoe UI"/>
          <w:color w:val="FFFFFF"/>
          <w:sz w:val="23"/>
          <w:szCs w:val="23"/>
        </w:rPr>
        <w:t>disctaly</w:t>
      </w:r>
      <w:r w:rsidRPr="006D488F">
        <w:rPr>
          <w:rFonts w:ascii="inherit" w:eastAsia="Times New Roman" w:hAnsi="inherit" w:cs="Segoe UI"/>
          <w:color w:val="FFFFFF"/>
          <w:sz w:val="23"/>
          <w:szCs w:val="23"/>
          <w:rtl/>
        </w:rPr>
        <w:t xml:space="preserve"> س </w:t>
      </w:r>
      <w:r w:rsidRPr="006D488F">
        <w:rPr>
          <w:rFonts w:ascii="inherit" w:eastAsia="Times New Roman" w:hAnsi="inherit" w:cs="Segoe UI"/>
          <w:color w:val="FFFFFF"/>
          <w:sz w:val="23"/>
          <w:szCs w:val="23"/>
        </w:rPr>
        <w:t>prewsled</w:t>
      </w:r>
      <w:r w:rsidRPr="006D488F">
        <w:rPr>
          <w:rFonts w:ascii="inherit" w:eastAsia="Times New Roman" w:hAnsi="inherit" w:cs="Segoe UI"/>
          <w:color w:val="FFFFFF"/>
          <w:sz w:val="23"/>
          <w:szCs w:val="23"/>
          <w:rtl/>
        </w:rPr>
        <w:t xml:space="preserve"> كما لو كانت المعاملات مع </w:t>
      </w:r>
      <w:r w:rsidRPr="006D488F">
        <w:rPr>
          <w:rFonts w:ascii="inherit" w:eastAsia="Times New Roman" w:hAnsi="inherit" w:cs="Segoe UI"/>
          <w:color w:val="FFFFFF"/>
          <w:sz w:val="23"/>
          <w:szCs w:val="23"/>
        </w:rPr>
        <w:t>entitine oetaide fe papuning</w:t>
      </w:r>
      <w:r w:rsidRPr="006D488F">
        <w:rPr>
          <w:rFonts w:ascii="inherit" w:eastAsia="Times New Roman" w:hAnsi="inherit" w:cs="Segoe UI"/>
          <w:color w:val="FFFFFF"/>
          <w:sz w:val="23"/>
          <w:szCs w:val="23"/>
          <w:rtl/>
        </w:rPr>
        <w:t xml:space="preserve"> ذ إعانات المقدمة بواسطة سيرة </w:t>
      </w:r>
      <w:r w:rsidRPr="006D488F">
        <w:rPr>
          <w:rFonts w:ascii="inherit" w:eastAsia="Times New Roman" w:hAnsi="inherit" w:cs="Segoe UI"/>
          <w:color w:val="FFFFFF"/>
          <w:sz w:val="23"/>
          <w:szCs w:val="23"/>
        </w:rPr>
        <w:t>tomponen primmy</w:t>
      </w:r>
      <w:r w:rsidRPr="006D488F">
        <w:rPr>
          <w:rFonts w:ascii="inherit" w:eastAsia="Times New Roman" w:hAnsi="inherit" w:cs="Segoe UI"/>
          <w:color w:val="FFFFFF"/>
          <w:sz w:val="23"/>
          <w:szCs w:val="23"/>
          <w:rtl/>
        </w:rPr>
        <w:t xml:space="preserve"> أو </w:t>
      </w:r>
      <w:r w:rsidRPr="006D488F">
        <w:rPr>
          <w:rFonts w:ascii="inherit" w:eastAsia="Times New Roman" w:hAnsi="inherit" w:cs="Segoe UI"/>
          <w:color w:val="FFFFFF"/>
          <w:sz w:val="23"/>
          <w:szCs w:val="23"/>
        </w:rPr>
        <w:t>os vie 15-2 IN PRACTICE</w:t>
      </w:r>
      <w:r w:rsidRPr="006D488F">
        <w:rPr>
          <w:rFonts w:ascii="inherit" w:eastAsia="Times New Roman" w:hAnsi="inherit" w:cs="Segoe UI"/>
          <w:color w:val="FFFFFF"/>
          <w:sz w:val="23"/>
          <w:szCs w:val="23"/>
          <w:rtl/>
        </w:rPr>
        <w:t xml:space="preserve"> بيانات وحدة مكونات الدولة متوسط ​​عدد مكونات </w:t>
      </w:r>
      <w:r w:rsidRPr="006D488F">
        <w:rPr>
          <w:rFonts w:ascii="inherit" w:eastAsia="Times New Roman" w:hAnsi="inherit" w:cs="Segoe UI"/>
          <w:color w:val="FFFFFF"/>
          <w:sz w:val="23"/>
          <w:szCs w:val="23"/>
        </w:rPr>
        <w:t>componen nt</w:t>
      </w:r>
      <w:r w:rsidRPr="006D488F">
        <w:rPr>
          <w:rFonts w:ascii="inherit" w:eastAsia="Times New Roman" w:hAnsi="inherit" w:cs="Segoe UI"/>
          <w:color w:val="FFFFFF"/>
          <w:sz w:val="23"/>
          <w:szCs w:val="23"/>
          <w:rtl/>
        </w:rPr>
        <w:t xml:space="preserve"> المحددة (</w:t>
      </w:r>
      <w:r w:rsidRPr="006D488F">
        <w:rPr>
          <w:rFonts w:ascii="inherit" w:eastAsia="Times New Roman" w:hAnsi="inherit" w:cs="Segoe UI"/>
          <w:color w:val="FFFFFF"/>
          <w:sz w:val="23"/>
          <w:szCs w:val="23"/>
        </w:rPr>
        <w:t xml:space="preserve">DPCU) </w:t>
      </w:r>
      <w:r w:rsidRPr="006D488F">
        <w:rPr>
          <w:rFonts w:ascii="inherit" w:eastAsia="Times New Roman" w:hAnsi="inherit" w:cs="Segoe UI"/>
          <w:color w:val="FFFFFF"/>
          <w:sz w:val="23"/>
          <w:szCs w:val="23"/>
          <w:rtl/>
        </w:rPr>
        <w:t xml:space="preserve">لكل حالة متوسط ​​عدد الوحدات المكونة المختلطة لكل تالفة متوسط ​​إجمالي </w:t>
      </w:r>
      <w:r w:rsidRPr="006D488F">
        <w:rPr>
          <w:rFonts w:ascii="inherit" w:eastAsia="Times New Roman" w:hAnsi="inherit" w:cs="Segoe UI"/>
          <w:color w:val="FFFFFF"/>
          <w:sz w:val="23"/>
          <w:szCs w:val="23"/>
        </w:rPr>
        <w:t>DPCU</w:t>
      </w:r>
      <w:r w:rsidRPr="006D488F">
        <w:rPr>
          <w:rFonts w:ascii="inherit" w:eastAsia="Times New Roman" w:hAnsi="inherit" w:cs="Segoe UI"/>
          <w:color w:val="FFFFFF"/>
          <w:sz w:val="23"/>
          <w:szCs w:val="23"/>
          <w:rtl/>
        </w:rPr>
        <w:t xml:space="preserve"> أبعاد مقسومًا على إجمالي </w:t>
      </w:r>
      <w:r w:rsidRPr="006D488F">
        <w:rPr>
          <w:rFonts w:ascii="inherit" w:eastAsia="Times New Roman" w:hAnsi="inherit" w:cs="Segoe UI"/>
          <w:color w:val="FFFFFF"/>
          <w:sz w:val="23"/>
          <w:szCs w:val="23"/>
        </w:rPr>
        <w:t>Gommment</w:t>
      </w:r>
      <w:r w:rsidRPr="006D488F">
        <w:rPr>
          <w:rFonts w:ascii="inherit" w:eastAsia="Times New Roman" w:hAnsi="inherit" w:cs="Segoe UI"/>
          <w:color w:val="FFFFFF"/>
          <w:sz w:val="23"/>
          <w:szCs w:val="23"/>
          <w:rtl/>
        </w:rPr>
        <w:t xml:space="preserve"> الأساسي 35 43٪ 60 (</w:t>
      </w:r>
      <w:r w:rsidRPr="006D488F">
        <w:rPr>
          <w:rFonts w:ascii="inherit" w:eastAsia="Times New Roman" w:hAnsi="inherit" w:cs="Segoe UI"/>
          <w:color w:val="FFFFFF"/>
          <w:sz w:val="23"/>
          <w:szCs w:val="23"/>
        </w:rPr>
        <w:t>PG) Assets Average</w:t>
      </w:r>
      <w:r w:rsidRPr="006D488F">
        <w:rPr>
          <w:rFonts w:ascii="inherit" w:eastAsia="Times New Roman" w:hAnsi="inherit" w:cs="Segoe UI"/>
          <w:color w:val="FFFFFF"/>
          <w:sz w:val="23"/>
          <w:szCs w:val="23"/>
          <w:rtl/>
        </w:rPr>
        <w:t xml:space="preserve"> متوسط </w:t>
      </w:r>
      <w:r w:rsidRPr="006D488F">
        <w:rPr>
          <w:rFonts w:ascii="inherit" w:eastAsia="Times New Roman" w:hAnsi="inherit" w:cs="Segoe UI"/>
          <w:color w:val="FFFFFF"/>
          <w:sz w:val="23"/>
          <w:szCs w:val="23"/>
        </w:rPr>
        <w:t>​​DUPU Liahilities</w:t>
      </w:r>
      <w:r w:rsidRPr="006D488F">
        <w:rPr>
          <w:rFonts w:ascii="inherit" w:eastAsia="Times New Roman" w:hAnsi="inherit" w:cs="Segoe UI"/>
          <w:color w:val="FFFFFF"/>
          <w:sz w:val="23"/>
          <w:szCs w:val="23"/>
          <w:rtl/>
        </w:rPr>
        <w:t xml:space="preserve"> مقسومًا على </w:t>
      </w:r>
      <w:r w:rsidRPr="006D488F">
        <w:rPr>
          <w:rFonts w:ascii="inherit" w:eastAsia="Times New Roman" w:hAnsi="inherit" w:cs="Segoe UI"/>
          <w:color w:val="FFFFFF"/>
          <w:sz w:val="23"/>
          <w:szCs w:val="23"/>
        </w:rPr>
        <w:t>Tolal P L</w:t>
      </w:r>
      <w:r w:rsidRPr="006D488F">
        <w:rPr>
          <w:rFonts w:ascii="inherit" w:eastAsia="Times New Roman" w:hAnsi="inherit" w:cs="Segoe UI"/>
          <w:color w:val="FFFFFF"/>
          <w:sz w:val="23"/>
          <w:szCs w:val="23"/>
          <w:rtl/>
        </w:rPr>
        <w:t xml:space="preserve"> متوسط ​​إجمالي إيرادات </w:t>
      </w:r>
      <w:r w:rsidRPr="006D488F">
        <w:rPr>
          <w:rFonts w:ascii="inherit" w:eastAsia="Times New Roman" w:hAnsi="inherit" w:cs="Segoe UI"/>
          <w:color w:val="FFFFFF"/>
          <w:sz w:val="23"/>
          <w:szCs w:val="23"/>
        </w:rPr>
        <w:t>DPCU</w:t>
      </w:r>
      <w:r w:rsidRPr="006D488F">
        <w:rPr>
          <w:rFonts w:ascii="inherit" w:eastAsia="Times New Roman" w:hAnsi="inherit" w:cs="Segoe UI"/>
          <w:color w:val="FFFFFF"/>
          <w:sz w:val="23"/>
          <w:szCs w:val="23"/>
          <w:rtl/>
        </w:rPr>
        <w:t xml:space="preserve"> مقسومًا على </w:t>
      </w:r>
      <w:r w:rsidRPr="006D488F">
        <w:rPr>
          <w:rFonts w:ascii="inherit" w:eastAsia="Times New Roman" w:hAnsi="inherit" w:cs="Segoe UI"/>
          <w:color w:val="FFFFFF"/>
          <w:sz w:val="23"/>
          <w:szCs w:val="23"/>
        </w:rPr>
        <w:t>Totsl PO Revnuss</w:t>
      </w:r>
    </w:p>
    <w:p w:rsidR="006D488F" w:rsidRPr="004E25C9" w:rsidRDefault="006D488F" w:rsidP="00C840E1">
      <w:pPr>
        <w:shd w:val="clear" w:color="auto" w:fill="0084FF"/>
        <w:spacing w:line="240" w:lineRule="auto"/>
        <w:rPr>
          <w:rFonts w:ascii="inherit" w:eastAsia="Times New Roman" w:hAnsi="inherit" w:cs="Segoe UI"/>
          <w:color w:val="FFFFFF"/>
          <w:sz w:val="23"/>
          <w:szCs w:val="23"/>
          <w:rtl/>
          <w:lang w:bidi="ar-IQ"/>
        </w:rPr>
      </w:pPr>
      <w:r w:rsidRPr="006D488F">
        <w:rPr>
          <w:rFonts w:ascii="inherit" w:eastAsia="Times New Roman" w:hAnsi="inherit" w:cs="Segoe UI"/>
          <w:color w:val="FFFFFF"/>
          <w:sz w:val="23"/>
          <w:szCs w:val="23"/>
          <w:rtl/>
        </w:rPr>
        <w:t xml:space="preserve">624 اﻟﻔﺻل اﻟراﺑﻊ ﻋﺷر ﻟﻟﺻﻧﺎدﯾق اﻟﻔرﻧﺳﻲ) ﯾﻧﺑﻐﻲ اﻹﺑﻼغ ﻋن اﻟﺗﺣوﯾﻼت اﻟﻣرﻓوﻋﺔ ﺑﺷﮐل ﻣﺿﺑوط ﻟﻟوﺣدات اﻟﻣﮐوﻧﺔ ﮐﺗﺣوﯾﻼت ، وﻟﯾس ﻋﻟﯽ أﻧﮭﺎ ﻣوﺻﻼت وﻣﺻروﻓﺎت - ﺗم ﺗﺻرﯾف اﻟﻣﺑﺎﻟﻎ اﻟﻣﺻرﻓﯾﺔ ﺣﯾث ﺗﮐون ﻋﻣﻟﯾﺔ اﻟﺗﻘﺎرﯾر ﻣوﺟودة ﻓﻲ ﻋﻣود وﺣدات اﻟﻣﮐوﻧﺎت. هذا العمود الخمسي للبيانات الموجودة في العمود الحكومي الثنائي مع العمود الموجود في وحدة </w:t>
      </w:r>
      <w:r w:rsidRPr="006D488F">
        <w:rPr>
          <w:rFonts w:ascii="inherit" w:eastAsia="Times New Roman" w:hAnsi="inherit" w:cs="Segoe UI"/>
          <w:color w:val="FFFFFF"/>
          <w:sz w:val="23"/>
          <w:szCs w:val="23"/>
        </w:rPr>
        <w:t>componeant</w:t>
      </w:r>
      <w:r w:rsidRPr="006D488F">
        <w:rPr>
          <w:rFonts w:ascii="inherit" w:eastAsia="Times New Roman" w:hAnsi="inherit" w:cs="Segoe UI"/>
          <w:color w:val="FFFFFF"/>
          <w:sz w:val="23"/>
          <w:szCs w:val="23"/>
          <w:rtl/>
        </w:rPr>
        <w:t xml:space="preserve"> سوف يتم تجميعه في النهاية ، يوفر في للوحدات الأساسية التي تحتوي على سنوات</w:t>
      </w:r>
      <w:r w:rsidRPr="006D488F">
        <w:rPr>
          <w:rFonts w:ascii="inherit" w:eastAsia="Times New Roman" w:hAnsi="inherit" w:cs="Segoe UI"/>
          <w:color w:val="FFFFFF"/>
          <w:sz w:val="23"/>
          <w:szCs w:val="23"/>
        </w:rPr>
        <w:t>l</w:t>
      </w:r>
      <w:r w:rsidRPr="006D488F">
        <w:rPr>
          <w:rFonts w:ascii="inherit" w:eastAsia="Times New Roman" w:hAnsi="inherit" w:cs="Segoe UI"/>
          <w:color w:val="FFFFFF"/>
          <w:sz w:val="23"/>
          <w:szCs w:val="23"/>
          <w:rtl/>
        </w:rPr>
        <w:t xml:space="preserve"> مختلفة. عندما تكون الوحدات المكونة لها سنوات مالية مختلفة ، فإن البيانات المالية للكيانات التقارير عن التقارير هي وحدات تمهيدية أساسية في الحكومة تم تحضيرها للوحدة المالية وتشمل بيانات وحدة المكون الخاصة بسجلات </w:t>
      </w:r>
      <w:r w:rsidRPr="006D488F">
        <w:rPr>
          <w:rFonts w:ascii="inherit" w:eastAsia="Times New Roman" w:hAnsi="inherit" w:cs="Segoe UI"/>
          <w:color w:val="FFFFFF"/>
          <w:sz w:val="23"/>
          <w:szCs w:val="23"/>
        </w:rPr>
        <w:t>t</w:t>
      </w:r>
      <w:r w:rsidRPr="006D488F">
        <w:rPr>
          <w:rFonts w:ascii="inherit" w:eastAsia="Times New Roman" w:hAnsi="inherit" w:cs="Segoe UI"/>
          <w:color w:val="FFFFFF"/>
          <w:sz w:val="23"/>
          <w:szCs w:val="23"/>
          <w:rtl/>
        </w:rPr>
        <w:t xml:space="preserve"> التابعة للشركة ولفرقها في السنة الأخرى ، أو (2) في غضون اﻟرﺑﻊ اﻷول ﺑﻌد اﻧﺗﮭﺎء اﻟﻣﮐﺎﻟﯾف اﻷﺳﺎﺳﯾﺔ اﻟﻣﺑﻌﺛرة ﻟدى اﻟروﻣﯾﻧﯾﯾن إذا ﮐﺎﻧت ﺑﯾﺎﻧﺎت وﺣدة اﻟﻣﮐوﻧﺎت اﻟدﻗﯾﻘﺔ ﻣﺗواﻓرة ﻓﻲ اﻟوﻗت اﻟﻣﻧﺎﺳب ﻣن ﺣﯾث اﻟﺣﺻﯾﻟﺔ اﻟﻣﺳﺗﻘﻟﺔ ﻟﻟﺣﺻول ﻋﻟﯽ اﻟﺑﯾﺎﻧﺎت اﻟﻣﺎﻟﯾﺔ اﻟﺧﺎﺻﺔ ﺑﺎﻟﺣﮐوﻣﺔ اﻷوﻟﯾﺔ ﺗﻌﺗرف ﻣﺟﻣوﻋﺔ ﻣﻌﺎﯾﯾر اﻟﻣﺣﺎﺳﺑﺔ اﻟزراﻋﯾﺔ ﺑﺄﻧﮫ ﻓﻲ ﺑﻌض اﻟﺣﺎﻻت ﻗد ﺗﺟد اﻟﺣﮐوﻣﺔ أﻧﮭﺎ ﻏﯾر راﻏﺑﺔ ﻓﻲ إﺻدار ﺗﻘرﯾر ﻣﺎﻟﻲ يغطي حكومته الأولية ولكنه لا يدخل بيانات وحدات المكونات المعروضة بشكل منفصل. ومع ذلك ، تنص </w:t>
      </w:r>
      <w:r w:rsidRPr="006D488F">
        <w:rPr>
          <w:rFonts w:ascii="inherit" w:eastAsia="Times New Roman" w:hAnsi="inherit" w:cs="Segoe UI"/>
          <w:color w:val="FFFFFF"/>
          <w:sz w:val="23"/>
          <w:szCs w:val="23"/>
        </w:rPr>
        <w:t>GASB</w:t>
      </w:r>
      <w:r w:rsidRPr="006D488F">
        <w:rPr>
          <w:rFonts w:ascii="inherit" w:eastAsia="Times New Roman" w:hAnsi="inherit" w:cs="Segoe UI"/>
          <w:color w:val="FFFFFF"/>
          <w:sz w:val="23"/>
          <w:szCs w:val="23"/>
          <w:rtl/>
        </w:rPr>
        <w:t xml:space="preserve"> بوضوح على أن مثل هذه التقارير المالية لا تتوافق مع المنظمات ذات الصلة </w:t>
      </w:r>
      <w:r w:rsidRPr="006D488F">
        <w:rPr>
          <w:rFonts w:ascii="inherit" w:eastAsia="Times New Roman" w:hAnsi="inherit" w:cs="Segoe UI"/>
          <w:color w:val="FFFFFF"/>
          <w:sz w:val="23"/>
          <w:szCs w:val="23"/>
        </w:rPr>
        <w:t>GAAP</w:t>
      </w:r>
      <w:r w:rsidRPr="006D488F">
        <w:rPr>
          <w:rFonts w:ascii="inherit" w:eastAsia="Times New Roman" w:hAnsi="inherit" w:cs="Segoe UI"/>
          <w:color w:val="FFFFFF"/>
          <w:sz w:val="23"/>
          <w:szCs w:val="23"/>
          <w:rtl/>
        </w:rPr>
        <w:t xml:space="preserve"> ذات الصلة ، والمشاريع المشتركة ، والمشكلة ذات الصلة الكيان التقارير ذات الصلة المشتركة هو المحاسبة والإبلاغ عن الكيانات التي ليست وحدات مكون ولكن مع أي </w:t>
      </w:r>
      <w:r w:rsidRPr="006D488F">
        <w:rPr>
          <w:rFonts w:ascii="inherit" w:eastAsia="Times New Roman" w:hAnsi="inherit" w:cs="Segoe UI"/>
          <w:color w:val="FFFFFF"/>
          <w:sz w:val="23"/>
          <w:szCs w:val="23"/>
        </w:rPr>
        <w:t>SLG</w:t>
      </w:r>
      <w:r w:rsidRPr="006D488F">
        <w:rPr>
          <w:rFonts w:ascii="inherit" w:eastAsia="Times New Roman" w:hAnsi="inherit" w:cs="Segoe UI"/>
          <w:color w:val="FFFFFF"/>
          <w:sz w:val="23"/>
          <w:szCs w:val="23"/>
          <w:rtl/>
        </w:rPr>
        <w:t xml:space="preserve"> تشارك أو لديها بعض ر العلاقات. تصنف هذه الكيانات الخارجية إلى ثلاث فئات عريضة: المنظمات ذات الصلة ، والمشاريع المشتركة ، والمنظمات المشتركة المنظمة. المنظمون ذوو الصلة هم المنظمات التي تم استبعادها من الكيان المُعلِن لأنه ، على الرغم من أن معيار سلطة التعيين ميل ، فإن الحكومة الأولية غير خاضعة للمساءلة المالية للمؤسسة - أي أن الحكومة الأولية لا تملك القدرة على فرض إرادتها على الإمكانات وحدة المكون وليس لديها علاقة مالية أو عبء المالية معها. 1. 2 المنظمات </w:t>
      </w:r>
      <w:r w:rsidRPr="006D488F">
        <w:rPr>
          <w:rFonts w:ascii="inherit" w:eastAsia="Times New Roman" w:hAnsi="inherit" w:cs="Segoe UI"/>
          <w:color w:val="FFFFFF"/>
          <w:sz w:val="23"/>
          <w:szCs w:val="23"/>
        </w:rPr>
        <w:t>görtelle Jolntly</w:t>
      </w:r>
      <w:r w:rsidRPr="006D488F">
        <w:rPr>
          <w:rFonts w:ascii="inherit" w:eastAsia="Times New Roman" w:hAnsi="inherit" w:cs="Segoe UI"/>
          <w:color w:val="FFFFFF"/>
          <w:sz w:val="23"/>
          <w:szCs w:val="23"/>
          <w:rtl/>
        </w:rPr>
        <w:t xml:space="preserve"> هي الوحدات المكونة المحتملة التي تخضع للمسؤولية المالية المستمرة المشتركة ، السيطرة المشتركة تنطوي على السيطرة على اثنين أو أكثر من الكيانات الأخرى ، ولكن الحكومة الأولية ليس لها مصلحة مالية مستمرة ولا أن الحكومة الأولية لا تعين أغلبية تصويتية من الهيئة المحتملة للوحدة المكونة للوحدة. (قد يقوم مشارك آخر في المنظمة بتعيين أغلبية تصويت في مجلس إدارته ، ومع ذلك قد يعاملها كوحدة مكونة.) مشاريع </w:t>
      </w:r>
      <w:r w:rsidRPr="006D488F">
        <w:rPr>
          <w:rFonts w:ascii="inherit" w:eastAsia="Times New Roman" w:hAnsi="inherit" w:cs="Segoe UI"/>
          <w:color w:val="FFFFFF"/>
          <w:sz w:val="23"/>
          <w:szCs w:val="23"/>
        </w:rPr>
        <w:t>Jolnt</w:t>
      </w:r>
      <w:r w:rsidRPr="006D488F">
        <w:rPr>
          <w:rFonts w:ascii="inherit" w:eastAsia="Times New Roman" w:hAnsi="inherit" w:cs="Segoe UI"/>
          <w:color w:val="FFFFFF"/>
          <w:sz w:val="23"/>
          <w:szCs w:val="23"/>
          <w:rtl/>
        </w:rPr>
        <w:t xml:space="preserve"> هي مثل المنظمات الخاضعة لحكم مشترك باستثناء الحكومة الأولية لديها إما مصلحة مالية مستمرة أو مستمرة المسؤوليه الماليه . تتجلى المصلحة المالية المستمرة في الحكومة الأولية التي لها مصلحة في الأسهم (حق صريح وقابل للقياس في صافي أصول المشاريع المشتركة التي تحدد اتفاقية المشروع المشترك) أو أي ترتيب آخر تستطيع بموجبه الحكومة الأساسية الوصول إلى شبكة المشروع المشترك. مصادر. أن المسؤولية المالية القائمة إذا كانت الحكومة الأولية ملزمة هي طريقة ما للديون المشتركة أو إذا كان المشروع المشترك لا يمكن أن يستمر في الوجود دون استمرار </w:t>
      </w:r>
      <w:r w:rsidR="004E25C9">
        <w:rPr>
          <w:rFonts w:ascii="inherit" w:eastAsia="Times New Roman" w:hAnsi="inherit" w:cs="Segoe UI"/>
          <w:color w:val="FFFFFF"/>
          <w:sz w:val="23"/>
          <w:szCs w:val="23"/>
          <w:rtl/>
        </w:rPr>
        <w:t>تمويل المنظمات الحكومية المشترك</w:t>
      </w:r>
    </w:p>
    <w:p w:rsidR="006D488F" w:rsidRPr="006D488F" w:rsidRDefault="006D488F" w:rsidP="00C840E1">
      <w:pPr>
        <w:shd w:val="clear" w:color="auto" w:fill="0077E5"/>
        <w:spacing w:line="240" w:lineRule="auto"/>
        <w:rPr>
          <w:rFonts w:ascii="inherit" w:eastAsia="Times New Roman" w:hAnsi="inherit" w:cs="Segoe UI"/>
          <w:color w:val="FFFFFF"/>
          <w:sz w:val="23"/>
          <w:szCs w:val="23"/>
        </w:rPr>
      </w:pPr>
      <w:r w:rsidRPr="006D488F">
        <w:rPr>
          <w:rFonts w:ascii="inherit" w:eastAsia="Times New Roman" w:hAnsi="inherit" w:cs="Segoe UI"/>
          <w:color w:val="FFFFFF"/>
          <w:sz w:val="23"/>
          <w:szCs w:val="23"/>
          <w:rtl/>
        </w:rPr>
        <w:lastRenderedPageBreak/>
        <w:t>الخدمات كوحدة مكون. يتعين على الحكومة الإبلاغ عن مشاركتها في المشروع المشترك على النحو التالي: يتم الإبلاغ عن المبلغ الصريح والقابل للقياس لأي حصة من الأسهم في مشروع مشترك كأصل من الأنشطة الحكومية أو الأنشطة التجارية ، حسب الاقتضاء ، في بيان الحكومة على مستوى الحكومة. صافي المركز - حتى إذا تم الإبلاغ عن المشروع المشترك وحدة</w:t>
      </w:r>
      <w:r w:rsidRPr="006D488F">
        <w:rPr>
          <w:rFonts w:ascii="inherit" w:eastAsia="Times New Roman" w:hAnsi="inherit" w:cs="Segoe UI"/>
          <w:color w:val="FFFFFF"/>
          <w:sz w:val="23"/>
          <w:szCs w:val="23"/>
        </w:rPr>
        <w:t>l</w:t>
      </w:r>
      <w:r w:rsidRPr="006D488F">
        <w:rPr>
          <w:rFonts w:ascii="inherit" w:eastAsia="Times New Roman" w:hAnsi="inherit" w:cs="Segoe UI"/>
          <w:color w:val="FFFFFF"/>
          <w:sz w:val="23"/>
          <w:szCs w:val="23"/>
          <w:rtl/>
        </w:rPr>
        <w:t xml:space="preserve"> المقدمة بشكل متردد. . . ﯾﺗم ﻋرض اﻟﺗﻐﯾرات ﻓﻲ ﺣﺻص ﺣﺻص اﻟﻣﺳﺎھﻣﺔ ﻓﻲ اﻟﻣﺷﺎرﯾﻊ اﻟﻣﺷﺗرﮐﺔ ﮐﺄﺣد ﻋﻧﺎﺻر اﻟﺑﯾﺎﻧﺎت اﻟﻔردﯾﺔ - ﺣﺗﯽ ﻟو ﮐﺎن اﻟﻣﺷروع اﻟﻣﺷﺗرك أﯾﺿﺎً ﺑﻧدًا ﻓﻲ اﻟﻣﺑﻟﻎ اﻟﻣذﮐور ﮐوﺣدة ﻣﮐوﻧﺔ ﻣرﺗﺑطﺔ ﺑﺎﻟدﺑﻟوم. يتم الإبلاغ عن الملكية المشتركة بين فينيسيا رأس المال المشتركة في صندوق الملكية الاستثماري باستخدام طريقة حقوق الملكية وذكرت المصالح المشتركة للصندوق المشروع المشترك الملكية:. 1. كموجودات أموال حكومية (أو هيومانات) فقط إذا كانت تمثل موارد مالية مستحقة أو مستحقة الدفع. كإيرادات ونفقات للصندوق الحكومي فقط إذا تم استيفاء معايير المراجعة الخاصة بالصندوق الحكومي ومعايير الاعتراف بها. 3. في الملاحظات إلى الحد الذي تزيد فيه حصة حقوق الملكية في استثمارات المشاريع المشتركة للصناديق الحكومية عن المبلغ المقرر الإبلاغ عنه في الأموال الحكومية - يجب أن تتضمن الملاحظات على البيانات المالية أيضًا 1. وصفًا عامًا لكل مشروع مشترك ، بما في ذلك أي المصلحة المالية المستمرة أو المسئولية عن المشروع المشترك ومعلومات حول ما إذا كان المشروع المشترك إما يتراكم موارد مالية كبيرة أو يعاني من ظروف ضغوط إئتمانية (قد يؤدي ذلك إلى نشأة أو عبء مالي إضافي في المستقبل). المعلومات المطلوبة للمعاملات ذات الصلة. يركز هذا الفصل مبدئياً على قضايا المحاسبة والإبلاغ المرتبطة بفهم طبيعة ومحتوى التقرير المالي السنوي الشامل في سياق كيان بسيط. التالي ، قضايا فريدة تنشأ مع هياكل الكيان أكثر تعقيدا النظر فيها. إن المعايير التي تمت مراجعتها مؤخرًا للكيانات المرتبطة بالديفينتين هي وحدات مكونة وكيفية مناقشة تقارير وحدة المكونات وتوضيحها بشيء من التفصيل. كما يتم مناقشة التقارير والإفصاح عن المنظمات الأخرى المرتبطة بها والتي لا تكون وحدات مكونة ، كذلك ، يركز القسمان من 2 إلى 15 على المحاسبة الحكومية والمالية المحلية للدولة. بينما ننتهي من هذه السلسلة من الفصول ، يجب أن نؤكد كما تم تقديمه في الجزء الأعلى من الرسم التوضيحي 15-9 - أن الكثير من محتوى الفصلين 2 إلى 15 تناولوا مسار التحضير. ﻧﻌﺎﻟﺞ ﻓﻲ اﻟﺑداﯾﺔ - ﻓﻲ اﻟﻔﺻول 3 - 8 و 10 - 12 - ﻣﻊ ﻣﺣﺎﺳﺑﺔ اﻟﺻﻧدوق اﻟﻔرﯾدﯾﺔ وﺗﻘدﯾم اﻟﺑﯾﺎﻧﺎت اﻟﻣﺎﻟﯾﺔ ﻟﻟﺻﻧدوق اﻷﻓﻐﺎﻧﻲ ﺛم ، ﻓﻲ اﻟﻔﺻل 13 ، ﮐﺎن ﺗرﮐﯾزﻧﺎ ﻋﻟﯽ ﺑﯾﺎﻧﺎت ﺑﺎزل اﻟﻣﺎﻟﯾﺔ ﻣﻊ اﻟﺗرﮐﯾز ﻋﻟﯽ اﻟﺻﻧﺎدﯾق اﻟرﺋﯾﺳﯾﺔ ﻟﻟﺻﻧﺎدﯾق اﻟﻣﺎﻟﯾﺔ. البيانات ، والبيانات المالية على مستوى الحكومة ، و </w:t>
      </w:r>
      <w:r w:rsidRPr="006D488F">
        <w:rPr>
          <w:rFonts w:ascii="inherit" w:eastAsia="Times New Roman" w:hAnsi="inherit" w:cs="Segoe UI"/>
          <w:color w:val="FFFFFF"/>
          <w:sz w:val="23"/>
          <w:szCs w:val="23"/>
        </w:rPr>
        <w:t>MD</w:t>
      </w:r>
      <w:r w:rsidRPr="006D488F">
        <w:rPr>
          <w:rFonts w:ascii="inherit" w:eastAsia="Times New Roman" w:hAnsi="inherit" w:cs="Segoe UI"/>
          <w:color w:val="FFFFFF"/>
          <w:sz w:val="23"/>
          <w:szCs w:val="23"/>
          <w:rtl/>
        </w:rPr>
        <w:t xml:space="preserve"> &amp; </w:t>
      </w:r>
      <w:r w:rsidRPr="006D488F">
        <w:rPr>
          <w:rFonts w:ascii="inherit" w:eastAsia="Times New Roman" w:hAnsi="inherit" w:cs="Segoe UI"/>
          <w:color w:val="FFFFFF"/>
          <w:sz w:val="23"/>
          <w:szCs w:val="23"/>
        </w:rPr>
        <w:t>A</w:t>
      </w:r>
      <w:r w:rsidRPr="006D488F">
        <w:rPr>
          <w:rFonts w:ascii="inherit" w:eastAsia="Times New Roman" w:hAnsi="inherit" w:cs="Segoe UI"/>
          <w:color w:val="FFFFFF"/>
          <w:sz w:val="23"/>
          <w:szCs w:val="23"/>
          <w:rtl/>
        </w:rPr>
        <w:t xml:space="preserve"> التالي ، في الفصل 14 ، تعلمنا كيفية استبعاد البيانات المالية على مستوى الحكومة من المعلومات المالية للصندوق والأصول الرأسمالية العامة وبيانات الخصوم الحدية طويلة الأجل (الفصل 9) نحن أيضا التعامل مع هرم التقارير المالية ، الذي تم تلخيصه في. . الجزء السفلي من الرسم التوضيحي 15-9. لاحظ أن الهرم المالي هو في الأساس معكوس مسار التحويل. وهذا هو: ينطلق </w:t>
      </w:r>
      <w:r w:rsidRPr="006D488F">
        <w:rPr>
          <w:rFonts w:ascii="inherit" w:eastAsia="Times New Roman" w:hAnsi="inherit" w:cs="Segoe UI"/>
          <w:color w:val="FFFFFF"/>
          <w:sz w:val="23"/>
          <w:szCs w:val="23"/>
        </w:rPr>
        <w:t>The Preparaton Funnel</w:t>
      </w:r>
      <w:r w:rsidRPr="006D488F">
        <w:rPr>
          <w:rFonts w:ascii="inherit" w:eastAsia="Times New Roman" w:hAnsi="inherit" w:cs="Segoe UI"/>
          <w:color w:val="FFFFFF"/>
          <w:sz w:val="23"/>
          <w:szCs w:val="23"/>
          <w:rtl/>
        </w:rPr>
        <w:t xml:space="preserve"> من المحاسبة إلى إعداد الصندوق المالي.</w:t>
      </w:r>
    </w:p>
    <w:p w:rsidR="006D488F" w:rsidRPr="004E25C9" w:rsidRDefault="006D488F" w:rsidP="00C840E1">
      <w:pPr>
        <w:shd w:val="clear" w:color="auto" w:fill="0084FF"/>
        <w:spacing w:line="240" w:lineRule="auto"/>
        <w:rPr>
          <w:rFonts w:ascii="inherit" w:eastAsia="Times New Roman" w:hAnsi="inherit" w:cs="Segoe UI"/>
          <w:color w:val="FFFFFF"/>
          <w:sz w:val="23"/>
          <w:szCs w:val="23"/>
          <w:rtl/>
          <w:lang w:bidi="ar-IQ"/>
        </w:rPr>
      </w:pPr>
      <w:r w:rsidRPr="006D488F">
        <w:rPr>
          <w:rFonts w:ascii="inherit" w:eastAsia="Times New Roman" w:hAnsi="inherit" w:cs="Segoe UI"/>
          <w:color w:val="FFFFFF"/>
          <w:sz w:val="23"/>
          <w:szCs w:val="23"/>
          <w:rtl/>
        </w:rPr>
        <w:t>لفصل 15 التقارير المالية التقرير المالي السنوي الشامل والأهداف التعليمية للتقارير المالية الكيان اطير دراسة هذا الفصل، يجب أن تكون قادرا على -</w:t>
      </w:r>
      <w:r w:rsidRPr="006D488F">
        <w:rPr>
          <w:rFonts w:ascii="inherit" w:eastAsia="Times New Roman" w:hAnsi="inherit" w:cs="Segoe UI"/>
          <w:color w:val="FFFFFF"/>
          <w:sz w:val="23"/>
          <w:szCs w:val="23"/>
        </w:rPr>
        <w:t>Explain</w:t>
      </w:r>
      <w:r w:rsidRPr="006D488F">
        <w:rPr>
          <w:rFonts w:ascii="inherit" w:eastAsia="Times New Roman" w:hAnsi="inherit" w:cs="Segoe UI"/>
          <w:color w:val="FFFFFF"/>
          <w:sz w:val="23"/>
          <w:szCs w:val="23"/>
          <w:rtl/>
        </w:rPr>
        <w:t xml:space="preserve"> طبيعة ومحتويات الثلاثة الكبرى فهم أي من الوحدات المكون يجب أن يتم مزجه </w:t>
      </w:r>
      <w:r w:rsidRPr="006D488F">
        <w:rPr>
          <w:rFonts w:ascii="inherit" w:eastAsia="Times New Roman" w:hAnsi="inherit" w:cs="Segoe UI"/>
          <w:color w:val="FFFFFF"/>
          <w:sz w:val="23"/>
          <w:szCs w:val="23"/>
        </w:rPr>
        <w:t>ections</w:t>
      </w:r>
      <w:r w:rsidRPr="006D488F">
        <w:rPr>
          <w:rFonts w:ascii="inherit" w:eastAsia="Times New Roman" w:hAnsi="inherit" w:cs="Segoe UI"/>
          <w:color w:val="FFFFFF"/>
          <w:sz w:val="23"/>
          <w:szCs w:val="23"/>
          <w:rtl/>
        </w:rPr>
        <w:t xml:space="preserve"> من تقرير مالي سنوي شامل فهم العلاقات بين الجمع بين </w:t>
      </w:r>
      <w:r w:rsidRPr="006D488F">
        <w:rPr>
          <w:rFonts w:ascii="inherit" w:eastAsia="Times New Roman" w:hAnsi="inherit" w:cs="Segoe UI"/>
          <w:color w:val="FFFFFF"/>
          <w:sz w:val="23"/>
          <w:szCs w:val="23"/>
        </w:rPr>
        <w:t>finan</w:t>
      </w:r>
      <w:r w:rsidRPr="006D488F">
        <w:rPr>
          <w:rFonts w:ascii="inherit" w:eastAsia="Times New Roman" w:hAnsi="inherit" w:cs="Segoe UI"/>
          <w:color w:val="FFFFFF"/>
          <w:sz w:val="23"/>
          <w:szCs w:val="23"/>
          <w:rtl/>
        </w:rPr>
        <w:t xml:space="preserve"> فهم الاختلافات بين المزج و التي يجب عرضها بشكل غير واضح. متطلبات </w:t>
      </w:r>
      <w:r w:rsidRPr="006D488F">
        <w:rPr>
          <w:rFonts w:ascii="inherit" w:eastAsia="Times New Roman" w:hAnsi="inherit" w:cs="Segoe UI"/>
          <w:color w:val="FFFFFF"/>
          <w:sz w:val="23"/>
          <w:szCs w:val="23"/>
        </w:rPr>
        <w:t>preentation reparting</w:t>
      </w:r>
      <w:r w:rsidRPr="006D488F">
        <w:rPr>
          <w:rFonts w:ascii="inherit" w:eastAsia="Times New Roman" w:hAnsi="inherit" w:cs="Segoe UI"/>
          <w:color w:val="FFFFFF"/>
          <w:sz w:val="23"/>
          <w:szCs w:val="23"/>
          <w:rtl/>
        </w:rPr>
        <w:t xml:space="preserve"> منفصلة للمنظمات </w:t>
      </w:r>
      <w:r w:rsidRPr="006D488F">
        <w:rPr>
          <w:rFonts w:ascii="inherit" w:eastAsia="Times New Roman" w:hAnsi="inherit" w:cs="Segoe UI"/>
          <w:color w:val="FFFFFF"/>
          <w:sz w:val="23"/>
          <w:szCs w:val="23"/>
        </w:rPr>
        <w:t>relatnd</w:t>
      </w:r>
      <w:r w:rsidRPr="006D488F">
        <w:rPr>
          <w:rFonts w:ascii="inherit" w:eastAsia="Times New Roman" w:hAnsi="inherit" w:cs="Segoe UI"/>
          <w:color w:val="FFFFFF"/>
          <w:sz w:val="23"/>
          <w:szCs w:val="23"/>
          <w:rtl/>
        </w:rPr>
        <w:t xml:space="preserve"> والبيانات </w:t>
      </w:r>
      <w:r w:rsidRPr="006D488F">
        <w:rPr>
          <w:rFonts w:ascii="inherit" w:eastAsia="Times New Roman" w:hAnsi="inherit" w:cs="Segoe UI"/>
          <w:color w:val="FFFFFF"/>
          <w:sz w:val="23"/>
          <w:szCs w:val="23"/>
        </w:rPr>
        <w:t>CIAL</w:t>
      </w:r>
      <w:r w:rsidRPr="006D488F">
        <w:rPr>
          <w:rFonts w:ascii="inherit" w:eastAsia="Times New Roman" w:hAnsi="inherit" w:cs="Segoe UI"/>
          <w:color w:val="FFFFFF"/>
          <w:sz w:val="23"/>
          <w:szCs w:val="23"/>
          <w:rtl/>
        </w:rPr>
        <w:t xml:space="preserve"> معا و</w:t>
      </w:r>
      <w:r w:rsidRPr="006D488F">
        <w:rPr>
          <w:rFonts w:ascii="inherit" w:eastAsia="Times New Roman" w:hAnsi="inherit" w:cs="Segoe UI"/>
          <w:color w:val="FFFFFF"/>
          <w:sz w:val="23"/>
          <w:szCs w:val="23"/>
        </w:rPr>
        <w:t>staternents</w:t>
      </w:r>
      <w:r w:rsidRPr="006D488F">
        <w:rPr>
          <w:rFonts w:ascii="inherit" w:eastAsia="Times New Roman" w:hAnsi="inherit" w:cs="Segoe UI"/>
          <w:color w:val="FFFFFF"/>
          <w:sz w:val="23"/>
          <w:szCs w:val="23"/>
          <w:rtl/>
        </w:rPr>
        <w:t xml:space="preserve"> المالية الأساسية تحديد البيانات الجمع بين أن الحكومة اشرح </w:t>
      </w:r>
      <w:r w:rsidRPr="006D488F">
        <w:rPr>
          <w:rFonts w:ascii="inherit" w:eastAsia="Times New Roman" w:hAnsi="inherit" w:cs="Segoe UI"/>
          <w:color w:val="FFFFFF"/>
          <w:sz w:val="23"/>
          <w:szCs w:val="23"/>
        </w:rPr>
        <w:t>dilferences</w:t>
      </w:r>
      <w:r w:rsidRPr="006D488F">
        <w:rPr>
          <w:rFonts w:ascii="inherit" w:eastAsia="Times New Roman" w:hAnsi="inherit" w:cs="Segoe UI"/>
          <w:color w:val="FFFFFF"/>
          <w:sz w:val="23"/>
          <w:szCs w:val="23"/>
          <w:rtl/>
        </w:rPr>
        <w:t xml:space="preserve"> بين وبين احتياجات أن يقدم في التقرير السنوي المالي </w:t>
      </w:r>
      <w:r w:rsidRPr="006D488F">
        <w:rPr>
          <w:rFonts w:ascii="inherit" w:eastAsia="Times New Roman" w:hAnsi="inherit" w:cs="Segoe UI"/>
          <w:color w:val="FFFFFF"/>
          <w:sz w:val="23"/>
          <w:szCs w:val="23"/>
        </w:rPr>
        <w:t>Esplain</w:t>
      </w:r>
      <w:r w:rsidRPr="006D488F">
        <w:rPr>
          <w:rFonts w:ascii="inherit" w:eastAsia="Times New Roman" w:hAnsi="inherit" w:cs="Segoe UI"/>
          <w:color w:val="FFFFFF"/>
          <w:sz w:val="23"/>
          <w:szCs w:val="23"/>
          <w:rtl/>
        </w:rPr>
        <w:t xml:space="preserve"> الشامل في كيفية تحديد ما إذا كان يتعين على الحكومة أن </w:t>
      </w:r>
      <w:r w:rsidRPr="006D488F">
        <w:rPr>
          <w:rFonts w:ascii="inherit" w:eastAsia="Times New Roman" w:hAnsi="inherit" w:cs="Segoe UI"/>
          <w:color w:val="FFFFFF"/>
          <w:sz w:val="23"/>
          <w:szCs w:val="23"/>
        </w:rPr>
        <w:t>eorerned organttations</w:t>
      </w:r>
      <w:r w:rsidRPr="006D488F">
        <w:rPr>
          <w:rFonts w:ascii="inherit" w:eastAsia="Times New Roman" w:hAnsi="inherit" w:cs="Segoe UI"/>
          <w:color w:val="FFFFFF"/>
          <w:sz w:val="23"/>
          <w:szCs w:val="23"/>
          <w:rtl/>
        </w:rPr>
        <w:t xml:space="preserve">، ومشاريع </w:t>
      </w:r>
      <w:r w:rsidRPr="006D488F">
        <w:rPr>
          <w:rFonts w:ascii="inherit" w:eastAsia="Times New Roman" w:hAnsi="inherit" w:cs="Segoe UI"/>
          <w:color w:val="FFFFFF"/>
          <w:sz w:val="23"/>
          <w:szCs w:val="23"/>
        </w:rPr>
        <w:t xml:space="preserve">jolint. </w:t>
      </w:r>
      <w:r w:rsidRPr="006D488F">
        <w:rPr>
          <w:rFonts w:ascii="inherit" w:eastAsia="Times New Roman" w:hAnsi="inherit" w:cs="Segoe UI"/>
          <w:color w:val="FFFFFF"/>
          <w:sz w:val="23"/>
          <w:szCs w:val="23"/>
          <w:rtl/>
        </w:rPr>
        <w:t>كيان مرتبط كوحدة مكون. ق مناقشتها في الفصل 13، والقوائم المالية الأساسية و</w:t>
      </w:r>
      <w:r w:rsidRPr="006D488F">
        <w:rPr>
          <w:rFonts w:ascii="inherit" w:eastAsia="Times New Roman" w:hAnsi="inherit" w:cs="Segoe UI"/>
          <w:color w:val="FFFFFF"/>
          <w:sz w:val="23"/>
          <w:szCs w:val="23"/>
        </w:rPr>
        <w:t xml:space="preserve">notes- </w:t>
      </w:r>
      <w:r w:rsidRPr="006D488F">
        <w:rPr>
          <w:rFonts w:ascii="inherit" w:eastAsia="Times New Roman" w:hAnsi="inherit" w:cs="Segoe UI"/>
          <w:color w:val="FFFFFF"/>
          <w:sz w:val="23"/>
          <w:szCs w:val="23"/>
          <w:rtl/>
        </w:rPr>
        <w:t>يرافقه مناقشة والإدارة تحليل (</w:t>
      </w:r>
      <w:r w:rsidRPr="006D488F">
        <w:rPr>
          <w:rFonts w:ascii="inherit" w:eastAsia="Times New Roman" w:hAnsi="inherit" w:cs="Segoe UI"/>
          <w:color w:val="FFFFFF"/>
          <w:sz w:val="23"/>
          <w:szCs w:val="23"/>
        </w:rPr>
        <w:t>MD</w:t>
      </w:r>
      <w:r w:rsidRPr="006D488F">
        <w:rPr>
          <w:rFonts w:ascii="inherit" w:eastAsia="Times New Roman" w:hAnsi="inherit" w:cs="Segoe UI"/>
          <w:color w:val="FFFFFF"/>
          <w:sz w:val="23"/>
          <w:szCs w:val="23"/>
          <w:rtl/>
        </w:rPr>
        <w:t xml:space="preserve"> &amp; </w:t>
      </w:r>
      <w:r w:rsidRPr="006D488F">
        <w:rPr>
          <w:rFonts w:ascii="inherit" w:eastAsia="Times New Roman" w:hAnsi="inherit" w:cs="Segoe UI"/>
          <w:color w:val="FFFFFF"/>
          <w:sz w:val="23"/>
          <w:szCs w:val="23"/>
        </w:rPr>
        <w:t xml:space="preserve">A) </w:t>
      </w:r>
      <w:r w:rsidRPr="006D488F">
        <w:rPr>
          <w:rFonts w:ascii="inherit" w:eastAsia="Times New Roman" w:hAnsi="inherit" w:cs="Segoe UI"/>
          <w:color w:val="FFFFFF"/>
          <w:sz w:val="23"/>
          <w:szCs w:val="23"/>
          <w:rtl/>
        </w:rPr>
        <w:t xml:space="preserve">د الآخر مطلوب معلومات تكميلية-تلبية متطلبات </w:t>
      </w:r>
      <w:r w:rsidRPr="006D488F">
        <w:rPr>
          <w:rFonts w:ascii="inherit" w:eastAsia="Times New Roman" w:hAnsi="inherit" w:cs="Segoe UI"/>
          <w:color w:val="FFFFFF"/>
          <w:sz w:val="23"/>
          <w:szCs w:val="23"/>
        </w:rPr>
        <w:t>minimom GAAP</w:t>
      </w:r>
      <w:r w:rsidRPr="006D488F">
        <w:rPr>
          <w:rFonts w:ascii="inherit" w:eastAsia="Times New Roman" w:hAnsi="inherit" w:cs="Segoe UI"/>
          <w:color w:val="FFFFFF"/>
          <w:sz w:val="23"/>
          <w:szCs w:val="23"/>
          <w:rtl/>
        </w:rPr>
        <w:t xml:space="preserve"> للأغراض العامة التقارير المالية الخارجية ومع ذلك، توصي </w:t>
      </w:r>
      <w:r w:rsidRPr="006D488F">
        <w:rPr>
          <w:rFonts w:ascii="inherit" w:eastAsia="Times New Roman" w:hAnsi="inherit" w:cs="Segoe UI"/>
          <w:color w:val="FFFFFF"/>
          <w:sz w:val="23"/>
          <w:szCs w:val="23"/>
        </w:rPr>
        <w:t>GASB</w:t>
      </w:r>
      <w:r w:rsidRPr="006D488F">
        <w:rPr>
          <w:rFonts w:ascii="inherit" w:eastAsia="Times New Roman" w:hAnsi="inherit" w:cs="Segoe UI"/>
          <w:color w:val="FFFFFF"/>
          <w:sz w:val="23"/>
          <w:szCs w:val="23"/>
          <w:rtl/>
        </w:rPr>
        <w:t xml:space="preserve"> أيضا أن هذه المعلومات تكون المقدمة في سياق التقرير المالي السنوي الشامل (</w:t>
      </w:r>
      <w:r w:rsidRPr="006D488F">
        <w:rPr>
          <w:rFonts w:ascii="inherit" w:eastAsia="Times New Roman" w:hAnsi="inherit" w:cs="Segoe UI"/>
          <w:color w:val="FFFFFF"/>
          <w:sz w:val="23"/>
          <w:szCs w:val="23"/>
        </w:rPr>
        <w:t xml:space="preserve">CAFR) </w:t>
      </w:r>
      <w:r w:rsidRPr="006D488F">
        <w:rPr>
          <w:rFonts w:ascii="inherit" w:eastAsia="Times New Roman" w:hAnsi="inherit" w:cs="Segoe UI"/>
          <w:color w:val="FFFFFF"/>
          <w:sz w:val="23"/>
          <w:szCs w:val="23"/>
          <w:rtl/>
        </w:rPr>
        <w:t xml:space="preserve">، والذي يتماشى مع بيان المبادئ المحاسبية والتقارير المالية الحكومية الذي يقضي بإعداد ونشر تقرير مالي سنوي شامل. يشرح هذا الفصل ويوضح العروض التي تشتمل على </w:t>
      </w:r>
      <w:r w:rsidRPr="006D488F">
        <w:rPr>
          <w:rFonts w:ascii="inherit" w:eastAsia="Times New Roman" w:hAnsi="inherit" w:cs="Segoe UI"/>
          <w:color w:val="FFFFFF"/>
          <w:sz w:val="23"/>
          <w:szCs w:val="23"/>
        </w:rPr>
        <w:t>CAFR</w:t>
      </w:r>
      <w:r w:rsidRPr="006D488F">
        <w:rPr>
          <w:rFonts w:ascii="inherit" w:eastAsia="Times New Roman" w:hAnsi="inherit" w:cs="Segoe UI"/>
          <w:color w:val="FFFFFF"/>
          <w:sz w:val="23"/>
          <w:szCs w:val="23"/>
          <w:rtl/>
        </w:rPr>
        <w:t xml:space="preserve"> عند مناقشة البيانات المالية الأساسية في الفصلين 13 و 14 ، فقد اعتبرنا الحكومات بنية بسيطة للإبلاغ. وعلى الرغم من الإشارة إلى الأماكن التي ينبغي فيها الإبلاغ عن الوحدات المكونة في البيانات المالية الأساسية ، فإن معظم التغطية المفترضة هي الكيان الذي يتم الإبلاغ عنه ، وهو يقتصر على كيان قانوني واحد. وركز هذا النهج الاهتمام على المحتوى الأساسي من البيانات المالية الأساسية وكيفية استخلاص وتقديم تلك المعلومات بدلا من التركيز على التعقيدات الناجمة عن وجود كيانات </w:t>
      </w:r>
      <w:r w:rsidRPr="006D488F">
        <w:rPr>
          <w:rFonts w:ascii="inherit" w:eastAsia="Times New Roman" w:hAnsi="inherit" w:cs="Segoe UI"/>
          <w:color w:val="FFFFFF"/>
          <w:sz w:val="23"/>
          <w:szCs w:val="23"/>
          <w:rtl/>
        </w:rPr>
        <w:lastRenderedPageBreak/>
        <w:t xml:space="preserve">منفصلة </w:t>
      </w:r>
      <w:r w:rsidR="00C840E1">
        <w:rPr>
          <w:rFonts w:ascii="inherit" w:eastAsia="Times New Roman" w:hAnsi="inherit" w:cs="Segoe UI" w:hint="cs"/>
          <w:color w:val="FFFFFF"/>
          <w:sz w:val="23"/>
          <w:szCs w:val="23"/>
          <w:rtl/>
        </w:rPr>
        <w:t>قانوني</w:t>
      </w:r>
      <w:r w:rsidRPr="006D488F">
        <w:rPr>
          <w:rFonts w:ascii="inherit" w:eastAsia="Times New Roman" w:hAnsi="inherit" w:cs="Segoe UI"/>
          <w:color w:val="FFFFFF"/>
          <w:sz w:val="23"/>
          <w:szCs w:val="23"/>
        </w:rPr>
        <w:t>l</w:t>
      </w:r>
      <w:r w:rsidRPr="006D488F">
        <w:rPr>
          <w:rFonts w:ascii="inherit" w:eastAsia="Times New Roman" w:hAnsi="inherit" w:cs="Segoe UI"/>
          <w:color w:val="FFFFFF"/>
          <w:sz w:val="23"/>
          <w:szCs w:val="23"/>
          <w:rtl/>
        </w:rPr>
        <w:t xml:space="preserve"> أخرى </w:t>
      </w:r>
      <w:r w:rsidRPr="006D488F">
        <w:rPr>
          <w:rFonts w:ascii="inherit" w:eastAsia="Times New Roman" w:hAnsi="inherit" w:cs="Segoe UI"/>
          <w:color w:val="FFFFFF"/>
          <w:sz w:val="23"/>
          <w:szCs w:val="23"/>
        </w:rPr>
        <w:t xml:space="preserve">- </w:t>
      </w:r>
      <w:r w:rsidRPr="006D488F">
        <w:rPr>
          <w:rFonts w:ascii="inherit" w:eastAsia="Times New Roman" w:hAnsi="inherit" w:cs="Segoe UI"/>
          <w:color w:val="FFFFFF"/>
          <w:sz w:val="23"/>
          <w:szCs w:val="23"/>
          <w:rtl/>
        </w:rPr>
        <w:t xml:space="preserve">استدار </w:t>
      </w:r>
      <w:r w:rsidR="00C840E1">
        <w:rPr>
          <w:rFonts w:ascii="inherit" w:eastAsia="Times New Roman" w:hAnsi="inherit" w:cs="Segoe UI" w:hint="cs"/>
          <w:color w:val="FFFFFF"/>
          <w:sz w:val="23"/>
          <w:szCs w:val="23"/>
          <w:rtl/>
        </w:rPr>
        <w:t>الحكومات</w:t>
      </w:r>
      <w:r w:rsidRPr="006D488F">
        <w:rPr>
          <w:rFonts w:ascii="inherit" w:eastAsia="Times New Roman" w:hAnsi="inherit" w:cs="Segoe UI"/>
          <w:color w:val="FFFFFF"/>
          <w:sz w:val="23"/>
          <w:szCs w:val="23"/>
        </w:rPr>
        <w:t>t</w:t>
      </w:r>
      <w:r w:rsidRPr="006D488F">
        <w:rPr>
          <w:rFonts w:ascii="inherit" w:eastAsia="Times New Roman" w:hAnsi="inherit" w:cs="Segoe UI"/>
          <w:color w:val="FFFFFF"/>
          <w:sz w:val="23"/>
          <w:szCs w:val="23"/>
          <w:rtl/>
        </w:rPr>
        <w:t xml:space="preserve"> التقارير نواصل هذا الكيان قانوني واح</w:t>
      </w:r>
      <w:r w:rsidR="004E25C9">
        <w:rPr>
          <w:rFonts w:ascii="inherit" w:eastAsia="Times New Roman" w:hAnsi="inherit" w:cs="Segoe UI"/>
          <w:color w:val="FFFFFF"/>
          <w:sz w:val="23"/>
          <w:szCs w:val="23"/>
          <w:rtl/>
        </w:rPr>
        <w:t xml:space="preserve">د في القسم الأول من هذا الفصل </w:t>
      </w:r>
    </w:p>
    <w:p w:rsidR="006D488F" w:rsidRPr="004E25C9" w:rsidRDefault="006D488F" w:rsidP="004E25C9">
      <w:pPr>
        <w:shd w:val="clear" w:color="auto" w:fill="0084FF"/>
        <w:spacing w:line="240" w:lineRule="auto"/>
        <w:rPr>
          <w:rFonts w:ascii="inherit" w:eastAsia="Times New Roman" w:hAnsi="inherit" w:cs="Segoe UI"/>
          <w:color w:val="FFFFFF"/>
          <w:sz w:val="23"/>
          <w:szCs w:val="23"/>
          <w:rtl/>
          <w:lang w:bidi="ar-IQ"/>
        </w:rPr>
      </w:pPr>
      <w:r w:rsidRPr="006D488F">
        <w:rPr>
          <w:rFonts w:ascii="inherit" w:eastAsia="Times New Roman" w:hAnsi="inherit" w:cs="Segoe UI"/>
          <w:color w:val="FFFFFF"/>
          <w:sz w:val="23"/>
          <w:szCs w:val="23"/>
          <w:rtl/>
        </w:rPr>
        <w:t xml:space="preserve">اﻟﻔﺻل اﻷول ﻣن اﻟﺗﻘرﯾر اﻟﻣﺎﻟﻲ ﯾﻧﺎﻗش اﻟﻘﺳم اﻟﻧﮭﺎﺋﻲ ﻣن اﻟﻔﺻل اﻟﻘﺿﺎﯾﺎ اﻟﻔرﯾدة واﻟﻣﺷﺎرﮐﺎت اﻟﻔرﯾدة اﻟﺗﻲ ﺗﻧطوي ﻋﻟﯾﮭﺎ ﻋﻧدﻣﺎ ﯾﮐون ﻟدى </w:t>
      </w:r>
      <w:r w:rsidRPr="006D488F">
        <w:rPr>
          <w:rFonts w:ascii="inherit" w:eastAsia="Times New Roman" w:hAnsi="inherit" w:cs="Segoe UI"/>
          <w:color w:val="FFFFFF"/>
          <w:sz w:val="23"/>
          <w:szCs w:val="23"/>
        </w:rPr>
        <w:t>Ts ﮐﯾﺎ</w:t>
      </w:r>
      <w:r w:rsidRPr="006D488F">
        <w:rPr>
          <w:rFonts w:ascii="inherit" w:eastAsia="Times New Roman" w:hAnsi="inherit" w:cs="Segoe UI"/>
          <w:color w:val="FFFFFF"/>
          <w:sz w:val="23"/>
          <w:szCs w:val="23"/>
          <w:rtl/>
        </w:rPr>
        <w:t xml:space="preserve">ن ﺗﻘدﯾم ﺗﻘﺎرﯾر ﻣﺗﻌددة ﮐﯾﺎﻧﺎت ﻗﺎﻧوﻧﯾﺔ ﻣﺳﺗﻘﻟﺔ ﻣﺗﻌددة ﻓﻲ ھذا اﻟﻘﺳم ، ﻧﻧﺎﻗش ﮐﯾﻔﯾﺔ ﺗﺣدﯾد اﻟﺣﮐوﻣﺔ ﻋﻧدﻣﺎ ﯾﺟب أن ﺗﮐون اﻟﮐﯾﺎﻧﺎت اﻟﻣﻧﻔﺻﻟﺔ ﻗﺎﻧوﻧﯾﺎً تدرج في تقريرهم المالي والطريقة التي ينبغي أن تدرج بها معلومات عن تلك الكيانات. المالية السنوية الشاملة غالباً ما يشار إلى </w:t>
      </w:r>
      <w:r w:rsidRPr="006D488F">
        <w:rPr>
          <w:rFonts w:ascii="inherit" w:eastAsia="Times New Roman" w:hAnsi="inherit" w:cs="Segoe UI"/>
          <w:color w:val="FFFFFF"/>
          <w:sz w:val="23"/>
          <w:szCs w:val="23"/>
        </w:rPr>
        <w:t>CAFR</w:t>
      </w:r>
      <w:r w:rsidRPr="006D488F">
        <w:rPr>
          <w:rFonts w:ascii="inherit" w:eastAsia="Times New Roman" w:hAnsi="inherit" w:cs="Segoe UI"/>
          <w:color w:val="FFFFFF"/>
          <w:sz w:val="23"/>
          <w:szCs w:val="23"/>
          <w:rtl/>
        </w:rPr>
        <w:t xml:space="preserve"> التابع للحكومة على أنه التقرير السنوي الرسمي. يحتوي </w:t>
      </w:r>
      <w:r w:rsidRPr="006D488F">
        <w:rPr>
          <w:rFonts w:ascii="inherit" w:eastAsia="Times New Roman" w:hAnsi="inherit" w:cs="Segoe UI"/>
          <w:color w:val="FFFFFF"/>
          <w:sz w:val="23"/>
          <w:szCs w:val="23"/>
        </w:rPr>
        <w:t>CAFR</w:t>
      </w:r>
      <w:r w:rsidRPr="006D488F">
        <w:rPr>
          <w:rFonts w:ascii="inherit" w:eastAsia="Times New Roman" w:hAnsi="inherit" w:cs="Segoe UI"/>
          <w:color w:val="FFFFFF"/>
          <w:sz w:val="23"/>
          <w:szCs w:val="23"/>
          <w:rtl/>
        </w:rPr>
        <w:t xml:space="preserve"> على الكثير من المعلومات بالإضافة إلى بياناته المالية الأساسية. يتضمن </w:t>
      </w:r>
      <w:r w:rsidRPr="006D488F">
        <w:rPr>
          <w:rFonts w:ascii="inherit" w:eastAsia="Times New Roman" w:hAnsi="inherit" w:cs="Segoe UI"/>
          <w:color w:val="FFFFFF"/>
          <w:sz w:val="23"/>
          <w:szCs w:val="23"/>
        </w:rPr>
        <w:t>CAFR</w:t>
      </w:r>
      <w:r w:rsidRPr="006D488F">
        <w:rPr>
          <w:rFonts w:ascii="inherit" w:eastAsia="Times New Roman" w:hAnsi="inherit" w:cs="Segoe UI"/>
          <w:color w:val="FFFFFF"/>
          <w:sz w:val="23"/>
          <w:szCs w:val="23"/>
          <w:rtl/>
        </w:rPr>
        <w:t xml:space="preserve"> بيانات مالية فردية لكل صندوق من أموال الحكومة ، وليس فقط الصناديق الرئيسية ، بالإضافة إلى البيانات المجمعة ، في </w:t>
      </w:r>
      <w:r w:rsidRPr="006D488F">
        <w:rPr>
          <w:rFonts w:ascii="inherit" w:eastAsia="Times New Roman" w:hAnsi="inherit" w:cs="Segoe UI"/>
          <w:color w:val="FFFFFF"/>
          <w:sz w:val="23"/>
          <w:szCs w:val="23"/>
        </w:rPr>
        <w:t>CAFR (</w:t>
      </w:r>
      <w:r w:rsidRPr="006D488F">
        <w:rPr>
          <w:rFonts w:ascii="inherit" w:eastAsia="Times New Roman" w:hAnsi="inherit" w:cs="Segoe UI"/>
          <w:color w:val="FFFFFF"/>
          <w:sz w:val="23"/>
          <w:szCs w:val="23"/>
          <w:rtl/>
        </w:rPr>
        <w:t xml:space="preserve">أو أجزاء كبيرة منها). ) متوفرة على الإنترنت. قد ترغب في مراجعة </w:t>
      </w:r>
      <w:r w:rsidRPr="006D488F">
        <w:rPr>
          <w:rFonts w:ascii="inherit" w:eastAsia="Times New Roman" w:hAnsi="inherit" w:cs="Segoe UI"/>
          <w:color w:val="FFFFFF"/>
          <w:sz w:val="23"/>
          <w:szCs w:val="23"/>
        </w:rPr>
        <w:t>CAFR</w:t>
      </w:r>
      <w:r w:rsidRPr="006D488F">
        <w:rPr>
          <w:rFonts w:ascii="inherit" w:eastAsia="Times New Roman" w:hAnsi="inherit" w:cs="Segoe UI"/>
          <w:color w:val="FFFFFF"/>
          <w:sz w:val="23"/>
          <w:szCs w:val="23"/>
          <w:rtl/>
        </w:rPr>
        <w:t xml:space="preserve"> الحكومة كما تدرس ما تبقى من هذا النقاش. يحتوي </w:t>
      </w:r>
      <w:r w:rsidRPr="006D488F">
        <w:rPr>
          <w:rFonts w:ascii="inherit" w:eastAsia="Times New Roman" w:hAnsi="inherit" w:cs="Segoe UI"/>
          <w:color w:val="FFFFFF"/>
          <w:sz w:val="23"/>
          <w:szCs w:val="23"/>
        </w:rPr>
        <w:t>CAFR</w:t>
      </w:r>
      <w:r w:rsidRPr="006D488F">
        <w:rPr>
          <w:rFonts w:ascii="inherit" w:eastAsia="Times New Roman" w:hAnsi="inherit" w:cs="Segoe UI"/>
          <w:color w:val="FFFFFF"/>
          <w:sz w:val="23"/>
          <w:szCs w:val="23"/>
          <w:rtl/>
        </w:rPr>
        <w:t xml:space="preserve"> على ثلاثة أقسام متميزة: </w:t>
      </w:r>
      <w:r w:rsidRPr="006D488F">
        <w:rPr>
          <w:rFonts w:ascii="inherit" w:eastAsia="Times New Roman" w:hAnsi="inherit" w:cs="Segoe UI"/>
          <w:color w:val="FFFFFF"/>
          <w:sz w:val="23"/>
          <w:szCs w:val="23"/>
        </w:rPr>
        <w:t>Lectectory Sectice 2. Financial Seetion A Statistical Section</w:t>
      </w:r>
      <w:r w:rsidRPr="006D488F">
        <w:rPr>
          <w:rFonts w:ascii="inherit" w:eastAsia="Times New Roman" w:hAnsi="inherit" w:cs="Segoe UI"/>
          <w:color w:val="FFFFFF"/>
          <w:sz w:val="23"/>
          <w:szCs w:val="23"/>
          <w:rtl/>
        </w:rPr>
        <w:t xml:space="preserve"> يتم عرض هذه الأقسام </w:t>
      </w:r>
      <w:r w:rsidRPr="006D488F">
        <w:rPr>
          <w:rFonts w:ascii="inherit" w:eastAsia="Times New Roman" w:hAnsi="inherit" w:cs="Segoe UI"/>
          <w:color w:val="FFFFFF"/>
          <w:sz w:val="23"/>
          <w:szCs w:val="23"/>
        </w:rPr>
        <w:t>CAFR</w:t>
      </w:r>
      <w:r w:rsidRPr="006D488F">
        <w:rPr>
          <w:rFonts w:ascii="inherit" w:eastAsia="Times New Roman" w:hAnsi="inherit" w:cs="Segoe UI"/>
          <w:color w:val="FFFFFF"/>
          <w:sz w:val="23"/>
          <w:szCs w:val="23"/>
          <w:rtl/>
        </w:rPr>
        <w:t xml:space="preserve"> ومحتوياتها في الرسم التوضيحي 15-1. تمت مناقشة وتوضيح البيانات المالية الأساسية في الفصل 13. تتم مناقشة أقسام ومحتويات </w:t>
      </w:r>
      <w:r w:rsidRPr="006D488F">
        <w:rPr>
          <w:rFonts w:ascii="inherit" w:eastAsia="Times New Roman" w:hAnsi="inherit" w:cs="Segoe UI"/>
          <w:color w:val="FFFFFF"/>
          <w:sz w:val="23"/>
          <w:szCs w:val="23"/>
        </w:rPr>
        <w:t>CAFR</w:t>
      </w:r>
      <w:r w:rsidRPr="006D488F">
        <w:rPr>
          <w:rFonts w:ascii="inherit" w:eastAsia="Times New Roman" w:hAnsi="inherit" w:cs="Segoe UI"/>
          <w:color w:val="FFFFFF"/>
          <w:sz w:val="23"/>
          <w:szCs w:val="23"/>
          <w:rtl/>
        </w:rPr>
        <w:t xml:space="preserve"> الأخرى هنا باختصار. القسم التمهيدي كما هو موضح في الشكل التوضيحي 15-1 ، يتضمن القسم التمهيدي في </w:t>
      </w:r>
      <w:r w:rsidRPr="006D488F">
        <w:rPr>
          <w:rFonts w:ascii="inherit" w:eastAsia="Times New Roman" w:hAnsi="inherit" w:cs="Segoe UI"/>
          <w:color w:val="FFFFFF"/>
          <w:sz w:val="23"/>
          <w:szCs w:val="23"/>
        </w:rPr>
        <w:t>CAFR</w:t>
      </w:r>
      <w:r w:rsidRPr="006D488F">
        <w:rPr>
          <w:rFonts w:ascii="inherit" w:eastAsia="Times New Roman" w:hAnsi="inherit" w:cs="Segoe UI"/>
          <w:color w:val="FFFFFF"/>
          <w:sz w:val="23"/>
          <w:szCs w:val="23"/>
          <w:rtl/>
        </w:rPr>
        <w:t xml:space="preserve"> جدول محتويات ، خطاب (رسائل) الإحالة ، ومواد أخرى تعتبر مناسبة من قبل الإدارة. قد تتضمن المواد الأخرى ، على سبيل المثال ، المخطط التنظيمي ، نسخة من شهادة الإنجاز السابقة للتميز في إعداد التقارير المالية التي تمنحها جمعية ضباط المالية الحكومية (</w:t>
      </w:r>
      <w:r w:rsidRPr="006D488F">
        <w:rPr>
          <w:rFonts w:ascii="inherit" w:eastAsia="Times New Roman" w:hAnsi="inherit" w:cs="Segoe UI"/>
          <w:color w:val="FFFFFF"/>
          <w:sz w:val="23"/>
          <w:szCs w:val="23"/>
        </w:rPr>
        <w:t xml:space="preserve">GFOA) </w:t>
      </w:r>
      <w:r w:rsidRPr="006D488F">
        <w:rPr>
          <w:rFonts w:ascii="inherit" w:eastAsia="Times New Roman" w:hAnsi="inherit" w:cs="Segoe UI"/>
          <w:color w:val="FFFFFF"/>
          <w:sz w:val="23"/>
          <w:szCs w:val="23"/>
          <w:rtl/>
        </w:rPr>
        <w:t xml:space="preserve">، قائمة المسؤولين المنتخبين ، ووصف للكيان الحكومي ذكرت في. ﯾﻣﮐن اﻟﺣﺻول ﻋﻟﯽ ﻣزﯾد ﻣن اﻟﻣﻌﻟوﻣﺎت ﺣول ﺷﮭﺎدة ﺗﺣﻘﯾق اﻟﺗﻣﯾز ﻓﻲ اﻟﺗﻘﺎرﯾر اﻟﻣﺎﻟﯾﺔ ﻣن </w:t>
      </w:r>
      <w:r w:rsidRPr="006D488F">
        <w:rPr>
          <w:rFonts w:ascii="inherit" w:eastAsia="Times New Roman" w:hAnsi="inherit" w:cs="Segoe UI"/>
          <w:color w:val="FFFFFF"/>
          <w:sz w:val="23"/>
          <w:szCs w:val="23"/>
        </w:rPr>
        <w:t xml:space="preserve">GFOA ﻋﻟﯽ </w:t>
      </w:r>
      <w:r w:rsidRPr="006D488F">
        <w:rPr>
          <w:rFonts w:ascii="inherit" w:eastAsia="Times New Roman" w:hAnsi="inherit" w:cs="Segoe UI"/>
          <w:color w:val="FFFFFF"/>
          <w:sz w:val="23"/>
          <w:szCs w:val="23"/>
          <w:rtl/>
        </w:rPr>
        <w:t xml:space="preserve">اﻟﻣوﻗﻊ اﻹﻟﮐﺗروﻧﻲ ﻟﻟﻣﻧظﻣﺔ ﻋﻟﯽ اﻟوﯾب </w:t>
      </w:r>
      <w:r w:rsidRPr="006D488F">
        <w:rPr>
          <w:rFonts w:ascii="inherit" w:eastAsia="Times New Roman" w:hAnsi="inherit" w:cs="Segoe UI"/>
          <w:color w:val="FFFFFF"/>
          <w:sz w:val="23"/>
          <w:szCs w:val="23"/>
        </w:rPr>
        <w:t>http: //www.gfoa org ﯾﻌﺗﺑ</w:t>
      </w:r>
      <w:r w:rsidRPr="006D488F">
        <w:rPr>
          <w:rFonts w:ascii="inherit" w:eastAsia="Times New Roman" w:hAnsi="inherit" w:cs="Segoe UI"/>
          <w:color w:val="FFFFFF"/>
          <w:sz w:val="23"/>
          <w:szCs w:val="23"/>
          <w:rtl/>
        </w:rPr>
        <w:t xml:space="preserve">ر اﻟدرﺟﺔ اﻟﻧﺎﺟﻣﺔ ﻋن اﻟﺿرﺑﺔ ﻣن اﻟﻣدﯾر اﻟﻣﺎﻟﻲ ھﻲ ﻗﺳم ﺗﻣﮭﯾدي ﻣﮭم ﻟﻟﻐﺎﯾﺔ ﻣن </w:t>
      </w:r>
      <w:r w:rsidRPr="006D488F">
        <w:rPr>
          <w:rFonts w:ascii="inherit" w:eastAsia="Times New Roman" w:hAnsi="inherit" w:cs="Segoe UI"/>
          <w:color w:val="FFFFFF"/>
          <w:sz w:val="23"/>
          <w:szCs w:val="23"/>
        </w:rPr>
        <w:t xml:space="preserve">CAFR. </w:t>
      </w:r>
      <w:r w:rsidRPr="006D488F">
        <w:rPr>
          <w:rFonts w:ascii="inherit" w:eastAsia="Times New Roman" w:hAnsi="inherit" w:cs="Segoe UI"/>
          <w:color w:val="FFFFFF"/>
          <w:sz w:val="23"/>
          <w:szCs w:val="23"/>
          <w:rtl/>
        </w:rPr>
        <w:t xml:space="preserve">تتواصل الرسالة عادةً: المتطلبات القانونية لعرض </w:t>
      </w:r>
      <w:r w:rsidRPr="006D488F">
        <w:rPr>
          <w:rFonts w:ascii="inherit" w:eastAsia="Times New Roman" w:hAnsi="inherit" w:cs="Segoe UI"/>
          <w:color w:val="FFFFFF"/>
          <w:sz w:val="23"/>
          <w:szCs w:val="23"/>
        </w:rPr>
        <w:t>CAFR</w:t>
      </w:r>
      <w:r w:rsidRPr="006D488F">
        <w:rPr>
          <w:rFonts w:ascii="inherit" w:eastAsia="Times New Roman" w:hAnsi="inherit" w:cs="Segoe UI"/>
          <w:color w:val="FFFFFF"/>
          <w:sz w:val="23"/>
          <w:szCs w:val="23"/>
          <w:rtl/>
        </w:rPr>
        <w:t xml:space="preserve"> ، وحقيقة أن التقرير هو مسؤولية الإدارة ويتألف من ممثلين للإدارة فيما يتعلق بالمركز المالي ونتائج التشغيل للحكومة ، ونتائج أعمال التدقيق المالي البيانات "قد يحتوي خطاب الإحالة أيضًا على ملف تعريف للحكومة ومعلومات يمكن أن يجدها القراء مفيدًا في تقييم الوضع المالي للحكومة. قد تتضمن هذه المعلومات موضوعات مثل الاقتصاد المحلي والتخطيط المالي طويل الأجل. المعلومات المتعلقة بالبنود التي لم يتم اتخاذ قرارات نهائية بشأنها ، وممارسات إدارة النقد ، وممارسات إدارة المخاطر ، ولا يتم تضمين العديد من المجالات التي كان سيتم تغطيتها في هذه الرسالة لكون المعلومات متضمنة في </w:t>
      </w:r>
      <w:r w:rsidRPr="006D488F">
        <w:rPr>
          <w:rFonts w:ascii="inherit" w:eastAsia="Times New Roman" w:hAnsi="inherit" w:cs="Segoe UI"/>
          <w:color w:val="FFFFFF"/>
          <w:sz w:val="23"/>
          <w:szCs w:val="23"/>
        </w:rPr>
        <w:t>MD</w:t>
      </w:r>
      <w:r w:rsidRPr="006D488F">
        <w:rPr>
          <w:rFonts w:ascii="inherit" w:eastAsia="Times New Roman" w:hAnsi="inherit" w:cs="Segoe UI"/>
          <w:color w:val="FFFFFF"/>
          <w:sz w:val="23"/>
          <w:szCs w:val="23"/>
          <w:rtl/>
        </w:rPr>
        <w:t xml:space="preserve"> &amp; </w:t>
      </w:r>
      <w:r w:rsidRPr="006D488F">
        <w:rPr>
          <w:rFonts w:ascii="inherit" w:eastAsia="Times New Roman" w:hAnsi="inherit" w:cs="Segoe UI"/>
          <w:color w:val="FFFFFF"/>
          <w:sz w:val="23"/>
          <w:szCs w:val="23"/>
        </w:rPr>
        <w:t>A</w:t>
      </w:r>
      <w:r w:rsidRPr="006D488F">
        <w:rPr>
          <w:rFonts w:ascii="inherit" w:eastAsia="Times New Roman" w:hAnsi="inherit" w:cs="Segoe UI"/>
          <w:color w:val="FFFFFF"/>
          <w:sz w:val="23"/>
          <w:szCs w:val="23"/>
          <w:rtl/>
        </w:rPr>
        <w:t xml:space="preserve"> في القسم المالي. لا ينبغي أن يتسبب </w:t>
      </w:r>
      <w:r w:rsidRPr="006D488F">
        <w:rPr>
          <w:rFonts w:ascii="inherit" w:eastAsia="Times New Roman" w:hAnsi="inherit" w:cs="Segoe UI"/>
          <w:color w:val="FFFFFF"/>
          <w:sz w:val="23"/>
          <w:szCs w:val="23"/>
        </w:rPr>
        <w:t>leter</w:t>
      </w:r>
      <w:r w:rsidRPr="006D488F">
        <w:rPr>
          <w:rFonts w:ascii="inherit" w:eastAsia="Times New Roman" w:hAnsi="inherit" w:cs="Segoe UI"/>
          <w:color w:val="FFFFFF"/>
          <w:sz w:val="23"/>
          <w:szCs w:val="23"/>
          <w:rtl/>
        </w:rPr>
        <w:t xml:space="preserve"> التكراري في تكرار المعلومات التي تشير إلى إحالة القراء إلى </w:t>
      </w:r>
      <w:r w:rsidRPr="006D488F">
        <w:rPr>
          <w:rFonts w:ascii="inherit" w:eastAsia="Times New Roman" w:hAnsi="inherit" w:cs="Segoe UI"/>
          <w:color w:val="FFFFFF"/>
          <w:sz w:val="23"/>
          <w:szCs w:val="23"/>
        </w:rPr>
        <w:t>MD</w:t>
      </w:r>
      <w:r w:rsidRPr="006D488F">
        <w:rPr>
          <w:rFonts w:ascii="inherit" w:eastAsia="Times New Roman" w:hAnsi="inherit" w:cs="Segoe UI"/>
          <w:color w:val="FFFFFF"/>
          <w:sz w:val="23"/>
          <w:szCs w:val="23"/>
          <w:rtl/>
        </w:rPr>
        <w:t xml:space="preserve"> &amp; </w:t>
      </w:r>
      <w:r w:rsidRPr="006D488F">
        <w:rPr>
          <w:rFonts w:ascii="inherit" w:eastAsia="Times New Roman" w:hAnsi="inherit" w:cs="Segoe UI"/>
          <w:color w:val="FFFFFF"/>
          <w:sz w:val="23"/>
          <w:szCs w:val="23"/>
        </w:rPr>
        <w:t>A ted</w:t>
      </w:r>
      <w:r w:rsidRPr="006D488F">
        <w:rPr>
          <w:rFonts w:ascii="inherit" w:eastAsia="Times New Roman" w:hAnsi="inherit" w:cs="Segoe UI"/>
          <w:color w:val="FFFFFF"/>
          <w:sz w:val="23"/>
          <w:szCs w:val="23"/>
          <w:rtl/>
        </w:rPr>
        <w:t xml:space="preserve"> في </w:t>
      </w:r>
      <w:r w:rsidRPr="006D488F">
        <w:rPr>
          <w:rFonts w:ascii="inherit" w:eastAsia="Times New Roman" w:hAnsi="inherit" w:cs="Segoe UI"/>
          <w:color w:val="FFFFFF"/>
          <w:sz w:val="23"/>
          <w:szCs w:val="23"/>
        </w:rPr>
        <w:t>MD</w:t>
      </w:r>
      <w:r w:rsidRPr="006D488F">
        <w:rPr>
          <w:rFonts w:ascii="inherit" w:eastAsia="Times New Roman" w:hAnsi="inherit" w:cs="Segoe UI"/>
          <w:color w:val="FFFFFF"/>
          <w:sz w:val="23"/>
          <w:szCs w:val="23"/>
          <w:rtl/>
        </w:rPr>
        <w:t xml:space="preserve"> &amp; </w:t>
      </w:r>
      <w:r w:rsidRPr="006D488F">
        <w:rPr>
          <w:rFonts w:ascii="inherit" w:eastAsia="Times New Roman" w:hAnsi="inherit" w:cs="Segoe UI"/>
          <w:color w:val="FFFFFF"/>
          <w:sz w:val="23"/>
          <w:szCs w:val="23"/>
        </w:rPr>
        <w:t>A</w:t>
      </w:r>
      <w:r w:rsidRPr="006D488F">
        <w:rPr>
          <w:rFonts w:ascii="inherit" w:eastAsia="Times New Roman" w:hAnsi="inherit" w:cs="Segoe UI"/>
          <w:color w:val="FFFFFF"/>
          <w:sz w:val="23"/>
          <w:szCs w:val="23"/>
          <w:rtl/>
        </w:rPr>
        <w:t xml:space="preserve"> ، ولكن </w:t>
      </w:r>
      <w:r w:rsidRPr="006D488F">
        <w:rPr>
          <w:rFonts w:ascii="inherit" w:eastAsia="Times New Roman" w:hAnsi="inherit" w:cs="Segoe UI"/>
          <w:color w:val="FFFFFF"/>
          <w:sz w:val="23"/>
          <w:szCs w:val="23"/>
        </w:rPr>
        <w:t>m</w:t>
      </w:r>
      <w:r w:rsidRPr="006D488F">
        <w:rPr>
          <w:rFonts w:ascii="inherit" w:eastAsia="Times New Roman" w:hAnsi="inherit" w:cs="Segoe UI"/>
          <w:color w:val="FFFFFF"/>
          <w:sz w:val="23"/>
          <w:szCs w:val="23"/>
          <w:rtl/>
        </w:rPr>
        <w:t xml:space="preserve"> أخيراً ، لأنها قد تبدو متشابهة بناءً على مناقشة خاطفة أو إعادة</w:t>
      </w:r>
    </w:p>
    <w:p w:rsidR="006D488F" w:rsidRPr="006D488F" w:rsidRDefault="006D488F" w:rsidP="006D488F">
      <w:pPr>
        <w:shd w:val="clear" w:color="auto" w:fill="0084FF"/>
        <w:spacing w:line="240" w:lineRule="auto"/>
        <w:rPr>
          <w:rFonts w:ascii="inherit" w:eastAsia="Times New Roman" w:hAnsi="inherit" w:cs="Segoe UI"/>
          <w:color w:val="FFFFFF"/>
          <w:sz w:val="23"/>
          <w:szCs w:val="23"/>
        </w:rPr>
      </w:pPr>
      <w:r w:rsidRPr="006D488F">
        <w:rPr>
          <w:rFonts w:ascii="inherit" w:eastAsia="Times New Roman" w:hAnsi="inherit" w:cs="Segoe UI"/>
          <w:color w:val="FFFFFF"/>
          <w:sz w:val="23"/>
          <w:szCs w:val="23"/>
          <w:rtl/>
        </w:rPr>
        <w:t xml:space="preserve">مكونات القطاع التمثيلي السنوي الشامل 605 المكونات التمثيلية المطلوبة من قبل </w:t>
      </w:r>
      <w:r w:rsidRPr="006D488F">
        <w:rPr>
          <w:rFonts w:ascii="inherit" w:eastAsia="Times New Roman" w:hAnsi="inherit" w:cs="Segoe UI"/>
          <w:color w:val="FFFFFF"/>
          <w:sz w:val="23"/>
          <w:szCs w:val="23"/>
        </w:rPr>
        <w:t xml:space="preserve">GASD 1. </w:t>
      </w:r>
      <w:r w:rsidRPr="006D488F">
        <w:rPr>
          <w:rFonts w:ascii="inherit" w:eastAsia="Times New Roman" w:hAnsi="inherit" w:cs="Segoe UI"/>
          <w:color w:val="FFFFFF"/>
          <w:sz w:val="23"/>
          <w:szCs w:val="23"/>
          <w:rtl/>
        </w:rPr>
        <w:t xml:space="preserve">الجدول أو المحتويات 2. الحرف (أ) 3. المواد </w:t>
      </w:r>
      <w:r w:rsidRPr="006D488F">
        <w:rPr>
          <w:rFonts w:ascii="inherit" w:eastAsia="Times New Roman" w:hAnsi="inherit" w:cs="Segoe UI"/>
          <w:color w:val="FFFFFF"/>
          <w:sz w:val="23"/>
          <w:szCs w:val="23"/>
        </w:rPr>
        <w:t>Osher</w:t>
      </w:r>
      <w:r w:rsidRPr="006D488F">
        <w:rPr>
          <w:rFonts w:ascii="inherit" w:eastAsia="Times New Roman" w:hAnsi="inherit" w:cs="Segoe UI"/>
          <w:color w:val="FFFFFF"/>
          <w:sz w:val="23"/>
          <w:szCs w:val="23"/>
          <w:rtl/>
        </w:rPr>
        <w:t xml:space="preserve"> التي تعتبر مواد مناسبة للأغذية المشتركة </w:t>
      </w:r>
      <w:r w:rsidRPr="006D488F">
        <w:rPr>
          <w:rFonts w:ascii="inherit" w:eastAsia="Times New Roman" w:hAnsi="inherit" w:cs="Segoe UI"/>
          <w:color w:val="FFFFFF"/>
          <w:sz w:val="23"/>
          <w:szCs w:val="23"/>
        </w:rPr>
        <w:t>Common Incloded 1</w:t>
      </w:r>
      <w:r w:rsidRPr="006D488F">
        <w:rPr>
          <w:rFonts w:ascii="inherit" w:eastAsia="Times New Roman" w:hAnsi="inherit" w:cs="Segoe UI"/>
          <w:color w:val="FFFFFF"/>
          <w:sz w:val="23"/>
          <w:szCs w:val="23"/>
          <w:rtl/>
        </w:rPr>
        <w:t xml:space="preserve"> ، قائمة بالمسؤولين الرئيسيين 2 الهيكل التنظيمي </w:t>
      </w:r>
      <w:r w:rsidRPr="006D488F">
        <w:rPr>
          <w:rFonts w:ascii="inherit" w:eastAsia="Times New Roman" w:hAnsi="inherit" w:cs="Segoe UI"/>
          <w:color w:val="FFFFFF"/>
          <w:sz w:val="23"/>
          <w:szCs w:val="23"/>
        </w:rPr>
        <w:t>a GFOA Esoellence by management n Pinional</w:t>
      </w:r>
      <w:r w:rsidRPr="006D488F">
        <w:rPr>
          <w:rFonts w:ascii="inherit" w:eastAsia="Times New Roman" w:hAnsi="inherit" w:cs="Segoe UI"/>
          <w:color w:val="FFFFFF"/>
          <w:sz w:val="23"/>
          <w:szCs w:val="23"/>
          <w:rtl/>
        </w:rPr>
        <w:t xml:space="preserve"> التقارير التي تلقتها </w:t>
      </w:r>
      <w:r w:rsidRPr="006D488F">
        <w:rPr>
          <w:rFonts w:ascii="inherit" w:eastAsia="Times New Roman" w:hAnsi="inherit" w:cs="Segoe UI"/>
          <w:color w:val="FFFFFF"/>
          <w:sz w:val="23"/>
          <w:szCs w:val="23"/>
        </w:rPr>
        <w:t>GF</w:t>
      </w:r>
      <w:r w:rsidRPr="006D488F">
        <w:rPr>
          <w:rFonts w:ascii="inherit" w:eastAsia="Times New Roman" w:hAnsi="inherit" w:cs="Segoe UI"/>
          <w:color w:val="FFFFFF"/>
          <w:sz w:val="23"/>
          <w:szCs w:val="23"/>
          <w:rtl/>
        </w:rPr>
        <w:t xml:space="preserve"> للسنة المالية السابقة) القسم المالي </w:t>
      </w:r>
      <w:r w:rsidRPr="006D488F">
        <w:rPr>
          <w:rFonts w:ascii="inherit" w:eastAsia="Times New Roman" w:hAnsi="inherit" w:cs="Segoe UI"/>
          <w:color w:val="FFFFFF"/>
          <w:sz w:val="23"/>
          <w:szCs w:val="23"/>
        </w:rPr>
        <w:t>Anditer's Repert Financial Statements and Required 5 Iaformation (</w:t>
      </w:r>
      <w:r w:rsidRPr="006D488F">
        <w:rPr>
          <w:rFonts w:ascii="inherit" w:eastAsia="Times New Roman" w:hAnsi="inherit" w:cs="Segoe UI"/>
          <w:color w:val="FFFFFF"/>
          <w:sz w:val="23"/>
          <w:szCs w:val="23"/>
          <w:rtl/>
        </w:rPr>
        <w:t xml:space="preserve">انظر الفصل 13) * </w:t>
      </w:r>
      <w:r w:rsidRPr="006D488F">
        <w:rPr>
          <w:rFonts w:ascii="inherit" w:eastAsia="Times New Roman" w:hAnsi="inherit" w:cs="Segoe UI"/>
          <w:color w:val="FFFFFF"/>
          <w:sz w:val="23"/>
          <w:szCs w:val="23"/>
        </w:rPr>
        <w:t>Managingments Discussion and Analysis Glovernment-Wide Financial Fundements Fiduciary Funds Financial Stalements. ﻣﻼﺣ</w:t>
      </w:r>
      <w:r w:rsidRPr="006D488F">
        <w:rPr>
          <w:rFonts w:ascii="inherit" w:eastAsia="Times New Roman" w:hAnsi="inherit" w:cs="Segoe UI"/>
          <w:color w:val="FFFFFF"/>
          <w:sz w:val="23"/>
          <w:szCs w:val="23"/>
          <w:rtl/>
        </w:rPr>
        <w:t xml:space="preserve">ظﺎت ﻋﻟﯽ اﻟﺑﯾﺎﻧﺎت اﻟﻣﺎﻟﯾﺔ اﻟﺻﻧﺎدﯾق اﻻﺣﺗﯾﺎطﯾﺔ اﻟﺣﮐوﻣﯾﺔ اﻹﻗرارات اﻟﻣﺎﻟﯾﺔ اﻟﻘواﺋم اﻟﻣﺎﻟﯾﺔ اﻟﺑﻧود اﻟﻣﺎﻟﯾﺔ اﻷﺧرى اﻟﻣطﻟوب اﻟﺗﮐﻣﯾﻟﻲ اﻟﻣطﻟوب ﺗﺟﻣﻊ ﺑﯾن اﻹﺟراءات اﻟﻣﺎﻟﯾﺔ وﻏﯾرھﺎ ﺗم اﻹﺑﻼغ ﻋن ﺑﯾﺎن ﺳﺗﯾﻣﯾﻧﯾك ﻟﺳﯾﺎﺳﺔ </w:t>
      </w:r>
      <w:r w:rsidRPr="006D488F">
        <w:rPr>
          <w:rFonts w:ascii="inherit" w:eastAsia="Times New Roman" w:hAnsi="inherit" w:cs="Segoe UI"/>
          <w:color w:val="FFFFFF"/>
          <w:sz w:val="23"/>
          <w:szCs w:val="23"/>
        </w:rPr>
        <w:t xml:space="preserve">Revenuex. </w:t>
      </w:r>
      <w:r w:rsidRPr="006D488F">
        <w:rPr>
          <w:rFonts w:ascii="inherit" w:eastAsia="Times New Roman" w:hAnsi="inherit" w:cs="Segoe UI"/>
          <w:color w:val="FFFFFF"/>
          <w:sz w:val="23"/>
          <w:szCs w:val="23"/>
          <w:rtl/>
        </w:rPr>
        <w:t xml:space="preserve">اﻟﻧﻔﻘﺎت واﻟﺗﻐﯾﯾرات ﻓﻲ أرﺻدة اﻟﺻﻧﺎدﯾق ﺑﯾﺎن اﻹﯾرادات واﻟﻣﺻﺎرﯾف واﻟﺗﻐﯾرات ﻓﻲ اﻟﺻﻧدوق ﻧﺷر ﺻﻧﺎدﯾق اﻟﻣﺷﺎرﯾﻊ ﻏﯾر اﻟ ﮐﺎﻣﻟﺔ </w:t>
      </w:r>
      <w:r w:rsidRPr="006D488F">
        <w:rPr>
          <w:rFonts w:ascii="inherit" w:eastAsia="Times New Roman" w:hAnsi="inherit" w:cs="Segoe UI"/>
          <w:color w:val="FFFFFF"/>
          <w:sz w:val="23"/>
          <w:szCs w:val="23"/>
        </w:rPr>
        <w:t>e ﺑﯾﺎ</w:t>
      </w:r>
      <w:r w:rsidRPr="006D488F">
        <w:rPr>
          <w:rFonts w:ascii="inherit" w:eastAsia="Times New Roman" w:hAnsi="inherit" w:cs="Segoe UI"/>
          <w:color w:val="FFFFFF"/>
          <w:sz w:val="23"/>
          <w:szCs w:val="23"/>
          <w:rtl/>
        </w:rPr>
        <w:t xml:space="preserve">ن ﺻﺎﻓﻲ اﻟﻣرﮐز. بيان التدفقات النقدية بيان صافي بيان الإيرادات من الإيرادات والمصروفات والتغييرات في صافي بيان موقف الصندوق من التدفقات النقدية لصناديق خدمة الأمهات (بالنسبة لنوع الصندوق) بيان البيان الإيضاحي صافي بيان التغيرات في بيان الموقف الصافي الائتماني للتغيرات في الوكالة أصول الصندوق وصكوك الوكالة المالية الصندوق الفردي البيانات المالية والجدولة المقارنات الفردية للموازنات الثنائية التي لا تشكل جزءًا من البيانات المالية الأساسية (هـ) بيانات الصناديق الفردية مع بيانات المقارنة للسنة السابقة بيانات الصندوق الفردي بمزيد من التفصيل من الجمع أو القوائم المالية الأساسية الجداول اللازمة لإثبات الالتزام بالأحكام القانونية والتعاقدية المتعلقة بالمالية الجداول الزمنية لتقديم المعلومات المنتشرة في جميع أنحاء البيانات التي يمكن إجراؤها معا وعرضها بالتفصيل (على سبيل المثال ، الضرائب المستحقة ، </w:t>
      </w:r>
      <w:r w:rsidRPr="006D488F">
        <w:rPr>
          <w:rFonts w:ascii="inherit" w:eastAsia="Times New Roman" w:hAnsi="inherit" w:cs="Segoe UI"/>
          <w:color w:val="FFFFFF"/>
          <w:sz w:val="23"/>
          <w:szCs w:val="23"/>
          <w:rtl/>
        </w:rPr>
        <w:lastRenderedPageBreak/>
        <w:t>والديون طويلة الأجل ، والاستثمارات) الجداول الزمنية لتقديم مزيد من التفاصيل عن المعلومات في البيانات (</w:t>
      </w:r>
      <w:r w:rsidRPr="006D488F">
        <w:rPr>
          <w:rFonts w:ascii="inherit" w:eastAsia="Times New Roman" w:hAnsi="inherit" w:cs="Segoe UI"/>
          <w:color w:val="FFFFFF"/>
          <w:sz w:val="23"/>
          <w:szCs w:val="23"/>
        </w:rPr>
        <w:t>egadditio</w:t>
      </w:r>
      <w:r w:rsidRPr="006D488F">
        <w:rPr>
          <w:rFonts w:ascii="inherit" w:eastAsia="Times New Roman" w:hAnsi="inherit" w:cs="Segoe UI"/>
          <w:color w:val="FFFFFF"/>
          <w:sz w:val="23"/>
          <w:szCs w:val="23"/>
          <w:rtl/>
        </w:rPr>
        <w:t xml:space="preserve"> مصادر الدخل من مصادر الدخل وتفاصيل بيانات الإنفاق حسب الإدارات التفسيرات التوضيحية مفيدة في فهم البيانات والجداول المالية المجمعة والفرعية التي لم يتم تضمينها في الحساب المالي للقوائم المالية الأساسية قد يتم الافتراض عليها على صفحات الفاصل </w:t>
      </w:r>
      <w:r w:rsidRPr="006D488F">
        <w:rPr>
          <w:rFonts w:ascii="inherit" w:eastAsia="Times New Roman" w:hAnsi="inherit" w:cs="Segoe UI"/>
          <w:color w:val="FFFFFF"/>
          <w:sz w:val="23"/>
          <w:szCs w:val="23"/>
        </w:rPr>
        <w:t>direcly</w:t>
      </w:r>
      <w:r w:rsidRPr="006D488F">
        <w:rPr>
          <w:rFonts w:ascii="inherit" w:eastAsia="Times New Roman" w:hAnsi="inherit" w:cs="Segoe UI"/>
          <w:color w:val="FFFFFF"/>
          <w:sz w:val="23"/>
          <w:szCs w:val="23"/>
          <w:rtl/>
        </w:rPr>
        <w:t xml:space="preserve"> على </w:t>
      </w:r>
      <w:r w:rsidRPr="006D488F">
        <w:rPr>
          <w:rFonts w:ascii="inherit" w:eastAsia="Times New Roman" w:hAnsi="inherit" w:cs="Segoe UI"/>
          <w:color w:val="FFFFFF"/>
          <w:sz w:val="23"/>
          <w:szCs w:val="23"/>
        </w:rPr>
        <w:t>staternents</w:t>
      </w:r>
      <w:r w:rsidRPr="006D488F">
        <w:rPr>
          <w:rFonts w:ascii="inherit" w:eastAsia="Times New Roman" w:hAnsi="inherit" w:cs="Segoe UI"/>
          <w:color w:val="FFFFFF"/>
          <w:sz w:val="23"/>
          <w:szCs w:val="23"/>
          <w:rtl/>
        </w:rPr>
        <w:t xml:space="preserve"> و </w:t>
      </w:r>
      <w:r w:rsidRPr="006D488F">
        <w:rPr>
          <w:rFonts w:ascii="inherit" w:eastAsia="Times New Roman" w:hAnsi="inherit" w:cs="Segoe UI"/>
          <w:color w:val="FFFFFF"/>
          <w:sz w:val="23"/>
          <w:szCs w:val="23"/>
        </w:rPr>
        <w:t>chodules</w:t>
      </w:r>
      <w:r w:rsidRPr="006D488F">
        <w:rPr>
          <w:rFonts w:ascii="inherit" w:eastAsia="Times New Roman" w:hAnsi="inherit" w:cs="Segoe UI"/>
          <w:color w:val="FFFFFF"/>
          <w:sz w:val="23"/>
          <w:szCs w:val="23"/>
          <w:rtl/>
        </w:rPr>
        <w:t xml:space="preserve"> أو في قسم</w:t>
      </w:r>
    </w:p>
    <w:p w:rsidR="006D488F" w:rsidRPr="006D488F" w:rsidRDefault="006D488F" w:rsidP="006D488F">
      <w:pPr>
        <w:shd w:val="clear" w:color="auto" w:fill="0084FF"/>
        <w:spacing w:line="240" w:lineRule="auto"/>
        <w:rPr>
          <w:rFonts w:ascii="inherit" w:eastAsia="Times New Roman" w:hAnsi="inherit" w:cs="Segoe UI"/>
          <w:color w:val="FFFFFF"/>
          <w:sz w:val="23"/>
          <w:szCs w:val="23"/>
        </w:rPr>
      </w:pPr>
      <w:r w:rsidRPr="006D488F">
        <w:rPr>
          <w:rFonts w:ascii="inherit" w:eastAsia="Times New Roman" w:hAnsi="inherit" w:cs="Segoe UI"/>
          <w:color w:val="FFFFFF"/>
          <w:sz w:val="23"/>
          <w:szCs w:val="23"/>
          <w:rtl/>
        </w:rPr>
        <w:t xml:space="preserve">606 الفصل 15 التقرير المالي التوجهات المالية معلومات حول صافي اإلنتاج آخر 10 سنوات من سنوات </w:t>
      </w:r>
      <w:r w:rsidRPr="006D488F">
        <w:rPr>
          <w:rFonts w:ascii="inherit" w:eastAsia="Times New Roman" w:hAnsi="inherit" w:cs="Segoe UI"/>
          <w:color w:val="FFFFFF"/>
          <w:sz w:val="23"/>
          <w:szCs w:val="23"/>
        </w:rPr>
        <w:t>Fincal Lait 10</w:t>
      </w:r>
      <w:r w:rsidRPr="006D488F">
        <w:rPr>
          <w:rFonts w:ascii="inherit" w:eastAsia="Times New Roman" w:hAnsi="inherit" w:cs="Segoe UI"/>
          <w:color w:val="FFFFFF"/>
          <w:sz w:val="23"/>
          <w:szCs w:val="23"/>
          <w:rtl/>
        </w:rPr>
        <w:t xml:space="preserve"> سنوات </w:t>
      </w:r>
      <w:r w:rsidRPr="006D488F">
        <w:rPr>
          <w:rFonts w:ascii="inherit" w:eastAsia="Times New Roman" w:hAnsi="inherit" w:cs="Segoe UI"/>
          <w:color w:val="FFFFFF"/>
          <w:sz w:val="23"/>
          <w:szCs w:val="23"/>
        </w:rPr>
        <w:t>Fncat</w:t>
      </w:r>
      <w:r w:rsidRPr="006D488F">
        <w:rPr>
          <w:rFonts w:ascii="inherit" w:eastAsia="Times New Roman" w:hAnsi="inherit" w:cs="Segoe UI"/>
          <w:color w:val="FFFFFF"/>
          <w:sz w:val="23"/>
          <w:szCs w:val="23"/>
          <w:rtl/>
        </w:rPr>
        <w:t xml:space="preserve"> آخر 10 سنوات </w:t>
      </w:r>
      <w:r w:rsidRPr="006D488F">
        <w:rPr>
          <w:rFonts w:ascii="inherit" w:eastAsia="Times New Roman" w:hAnsi="inherit" w:cs="Segoe UI"/>
          <w:color w:val="FFFFFF"/>
          <w:sz w:val="23"/>
          <w:szCs w:val="23"/>
        </w:rPr>
        <w:t>Facal</w:t>
      </w:r>
      <w:r w:rsidRPr="006D488F">
        <w:rPr>
          <w:rFonts w:ascii="inherit" w:eastAsia="Times New Roman" w:hAnsi="inherit" w:cs="Segoe UI"/>
          <w:color w:val="FFFFFF"/>
          <w:sz w:val="23"/>
          <w:szCs w:val="23"/>
          <w:rtl/>
        </w:rPr>
        <w:t xml:space="preserve"> السنوات الماضية 10 سنوات التشوه حول التغييرات في صافي </w:t>
      </w:r>
      <w:r w:rsidRPr="006D488F">
        <w:rPr>
          <w:rFonts w:ascii="inherit" w:eastAsia="Times New Roman" w:hAnsi="inherit" w:cs="Segoe UI"/>
          <w:color w:val="FFFFFF"/>
          <w:sz w:val="23"/>
          <w:szCs w:val="23"/>
        </w:rPr>
        <w:t>Fosision</w:t>
      </w:r>
      <w:r w:rsidRPr="006D488F">
        <w:rPr>
          <w:rFonts w:ascii="inherit" w:eastAsia="Times New Roman" w:hAnsi="inherit" w:cs="Segoe UI"/>
          <w:color w:val="FFFFFF"/>
          <w:sz w:val="23"/>
          <w:szCs w:val="23"/>
          <w:rtl/>
        </w:rPr>
        <w:t xml:space="preserve"> العائدات القدرة على اإليراد معلومات عن أسعار </w:t>
      </w:r>
      <w:r w:rsidRPr="006D488F">
        <w:rPr>
          <w:rFonts w:ascii="inherit" w:eastAsia="Times New Roman" w:hAnsi="inherit" w:cs="Segoe UI"/>
          <w:color w:val="FFFFFF"/>
          <w:sz w:val="23"/>
          <w:szCs w:val="23"/>
        </w:rPr>
        <w:t>Revrain</w:t>
      </w:r>
      <w:r w:rsidRPr="006D488F">
        <w:rPr>
          <w:rFonts w:ascii="inherit" w:eastAsia="Times New Roman" w:hAnsi="inherit" w:cs="Segoe UI"/>
          <w:color w:val="FFFFFF"/>
          <w:sz w:val="23"/>
          <w:szCs w:val="23"/>
          <w:rtl/>
        </w:rPr>
        <w:t xml:space="preserve"> معلومات حول دافعي العائدات الرئيسية معلومات عن العقارات </w:t>
      </w:r>
      <w:r w:rsidRPr="006D488F">
        <w:rPr>
          <w:rFonts w:ascii="inherit" w:eastAsia="Times New Roman" w:hAnsi="inherit" w:cs="Segoe UI"/>
          <w:color w:val="FFFFFF"/>
          <w:sz w:val="23"/>
          <w:szCs w:val="23"/>
        </w:rPr>
        <w:t>Tas Levies</w:t>
      </w:r>
      <w:r w:rsidRPr="006D488F">
        <w:rPr>
          <w:rFonts w:ascii="inherit" w:eastAsia="Times New Roman" w:hAnsi="inherit" w:cs="Segoe UI"/>
          <w:color w:val="FFFFFF"/>
          <w:sz w:val="23"/>
          <w:szCs w:val="23"/>
          <w:rtl/>
        </w:rPr>
        <w:t xml:space="preserve"> و 10 </w:t>
      </w:r>
      <w:r w:rsidRPr="006D488F">
        <w:rPr>
          <w:rFonts w:ascii="inherit" w:eastAsia="Times New Roman" w:hAnsi="inherit" w:cs="Segoe UI"/>
          <w:color w:val="FFFFFF"/>
          <w:sz w:val="23"/>
          <w:szCs w:val="23"/>
        </w:rPr>
        <w:t>Pecal Yearn</w:t>
      </w:r>
      <w:r w:rsidRPr="006D488F">
        <w:rPr>
          <w:rFonts w:ascii="inherit" w:eastAsia="Times New Roman" w:hAnsi="inherit" w:cs="Segoe UI"/>
          <w:color w:val="FFFFFF"/>
          <w:sz w:val="23"/>
          <w:szCs w:val="23"/>
          <w:rtl/>
        </w:rPr>
        <w:t xml:space="preserve"> السنة الحالية والسنة التاسعة </w:t>
      </w:r>
      <w:r w:rsidRPr="006D488F">
        <w:rPr>
          <w:rFonts w:ascii="inherit" w:eastAsia="Times New Roman" w:hAnsi="inherit" w:cs="Segoe UI"/>
          <w:color w:val="FFFFFF"/>
          <w:sz w:val="23"/>
          <w:szCs w:val="23"/>
        </w:rPr>
        <w:t>Pri</w:t>
      </w:r>
      <w:r w:rsidRPr="006D488F">
        <w:rPr>
          <w:rFonts w:ascii="inherit" w:eastAsia="Times New Roman" w:hAnsi="inherit" w:cs="Segoe UI"/>
          <w:color w:val="FFFFFF"/>
          <w:sz w:val="23"/>
          <w:szCs w:val="23"/>
          <w:rtl/>
        </w:rPr>
        <w:t xml:space="preserve"> آخر 10 سنوات </w:t>
      </w:r>
      <w:r w:rsidRPr="006D488F">
        <w:rPr>
          <w:rFonts w:ascii="inherit" w:eastAsia="Times New Roman" w:hAnsi="inherit" w:cs="Segoe UI"/>
          <w:color w:val="FFFFFF"/>
          <w:sz w:val="23"/>
          <w:szCs w:val="23"/>
        </w:rPr>
        <w:t>Fscal Collections Capacity Information</w:t>
      </w:r>
      <w:r w:rsidRPr="006D488F">
        <w:rPr>
          <w:rFonts w:ascii="inherit" w:eastAsia="Times New Roman" w:hAnsi="inherit" w:cs="Segoe UI"/>
          <w:color w:val="FFFFFF"/>
          <w:sz w:val="23"/>
          <w:szCs w:val="23"/>
          <w:rtl/>
        </w:rPr>
        <w:t xml:space="preserve"> معلومات حول نسب </w:t>
      </w:r>
      <w:r w:rsidRPr="006D488F">
        <w:rPr>
          <w:rFonts w:ascii="inherit" w:eastAsia="Times New Roman" w:hAnsi="inherit" w:cs="Segoe UI"/>
          <w:color w:val="FFFFFF"/>
          <w:sz w:val="23"/>
          <w:szCs w:val="23"/>
        </w:rPr>
        <w:t>DebtL</w:t>
      </w:r>
      <w:r w:rsidRPr="006D488F">
        <w:rPr>
          <w:rFonts w:ascii="inherit" w:eastAsia="Times New Roman" w:hAnsi="inherit" w:cs="Segoe UI"/>
          <w:color w:val="FFFFFF"/>
          <w:sz w:val="23"/>
          <w:szCs w:val="23"/>
          <w:rtl/>
        </w:rPr>
        <w:t xml:space="preserve"> المعلقة 10 </w:t>
      </w:r>
      <w:r w:rsidRPr="006D488F">
        <w:rPr>
          <w:rFonts w:ascii="inherit" w:eastAsia="Times New Roman" w:hAnsi="inherit" w:cs="Segoe UI"/>
          <w:color w:val="FFFFFF"/>
          <w:sz w:val="23"/>
          <w:szCs w:val="23"/>
        </w:rPr>
        <w:t>Fcal Yean</w:t>
      </w:r>
      <w:r w:rsidRPr="006D488F">
        <w:rPr>
          <w:rFonts w:ascii="inherit" w:eastAsia="Times New Roman" w:hAnsi="inherit" w:cs="Segoe UI"/>
          <w:color w:val="FFFFFF"/>
          <w:sz w:val="23"/>
          <w:szCs w:val="23"/>
          <w:rtl/>
        </w:rPr>
        <w:t xml:space="preserve"> آخر 10 سنة مالية معلومات حول نسب </w:t>
      </w:r>
      <w:r w:rsidRPr="006D488F">
        <w:rPr>
          <w:rFonts w:ascii="inherit" w:eastAsia="Times New Roman" w:hAnsi="inherit" w:cs="Segoe UI"/>
          <w:color w:val="FFFFFF"/>
          <w:sz w:val="23"/>
          <w:szCs w:val="23"/>
        </w:rPr>
        <w:t>General 1 Bonded Deln</w:t>
      </w:r>
      <w:r w:rsidRPr="006D488F">
        <w:rPr>
          <w:rFonts w:ascii="inherit" w:eastAsia="Times New Roman" w:hAnsi="inherit" w:cs="Segoe UI"/>
          <w:color w:val="FFFFFF"/>
          <w:sz w:val="23"/>
          <w:szCs w:val="23"/>
          <w:rtl/>
        </w:rPr>
        <w:t xml:space="preserve"> معلومات حول </w:t>
      </w:r>
      <w:r w:rsidRPr="006D488F">
        <w:rPr>
          <w:rFonts w:ascii="inherit" w:eastAsia="Times New Roman" w:hAnsi="inherit" w:cs="Segoe UI"/>
          <w:color w:val="FFFFFF"/>
          <w:sz w:val="23"/>
          <w:szCs w:val="23"/>
        </w:rPr>
        <w:t>Direct and Overlapping DetCurrent Fical Year about Debt</w:t>
      </w:r>
      <w:r w:rsidRPr="006D488F">
        <w:rPr>
          <w:rFonts w:ascii="inherit" w:eastAsia="Times New Roman" w:hAnsi="inherit" w:cs="Segoe UI"/>
          <w:color w:val="FFFFFF"/>
          <w:sz w:val="23"/>
          <w:szCs w:val="23"/>
          <w:rtl/>
        </w:rPr>
        <w:t xml:space="preserve"> القيود: هامش الديون القانونية معلومات أخرى حول الحد من الديون السنة المالية الحالية آخر 10 سنوات متتالية من التكوينات المالية حول التعهدات - الحزم </w:t>
      </w:r>
      <w:r w:rsidRPr="006D488F">
        <w:rPr>
          <w:rFonts w:ascii="inherit" w:eastAsia="Times New Roman" w:hAnsi="inherit" w:cs="Segoe UI"/>
          <w:color w:val="FFFFFF"/>
          <w:sz w:val="23"/>
          <w:szCs w:val="23"/>
        </w:rPr>
        <w:t>CovengeLaxt 10</w:t>
      </w:r>
      <w:r w:rsidRPr="006D488F">
        <w:rPr>
          <w:rFonts w:ascii="inherit" w:eastAsia="Times New Roman" w:hAnsi="inherit" w:cs="Segoe UI"/>
          <w:color w:val="FFFFFF"/>
          <w:sz w:val="23"/>
          <w:szCs w:val="23"/>
          <w:rtl/>
        </w:rPr>
        <w:t xml:space="preserve"> باكال سنوات المعلومات السكانية والاقتصادية حول الديموغرافية وآخر 10 سنوات </w:t>
      </w:r>
      <w:r w:rsidRPr="006D488F">
        <w:rPr>
          <w:rFonts w:ascii="inherit" w:eastAsia="Times New Roman" w:hAnsi="inherit" w:cs="Segoe UI"/>
          <w:color w:val="FFFFFF"/>
          <w:sz w:val="23"/>
          <w:szCs w:val="23"/>
        </w:rPr>
        <w:t>Fscal</w:t>
      </w:r>
      <w:r w:rsidRPr="006D488F">
        <w:rPr>
          <w:rFonts w:ascii="inherit" w:eastAsia="Times New Roman" w:hAnsi="inherit" w:cs="Segoe UI"/>
          <w:color w:val="FFFFFF"/>
          <w:sz w:val="23"/>
          <w:szCs w:val="23"/>
          <w:rtl/>
        </w:rPr>
        <w:t xml:space="preserve"> المؤشرات الاقتصادية معلومات حول موظفي الحكومة معلومات عن أوبراتين </w:t>
      </w:r>
      <w:r w:rsidRPr="006D488F">
        <w:rPr>
          <w:rFonts w:ascii="inherit" w:eastAsia="Times New Roman" w:hAnsi="inherit" w:cs="Segoe UI"/>
          <w:color w:val="FFFFFF"/>
          <w:sz w:val="23"/>
          <w:szCs w:val="23"/>
        </w:rPr>
        <w:t>g</w:t>
      </w:r>
      <w:r w:rsidRPr="006D488F">
        <w:rPr>
          <w:rFonts w:ascii="inherit" w:eastAsia="Times New Roman" w:hAnsi="inherit" w:cs="Segoe UI"/>
          <w:color w:val="FFFFFF"/>
          <w:sz w:val="23"/>
          <w:szCs w:val="23"/>
          <w:rtl/>
        </w:rPr>
        <w:t xml:space="preserve"> المؤشرات معلومات حول الأصول الرأسمالية السنة الحالية وسنة النينتس السنة الماضية 10 سنوات </w:t>
      </w:r>
      <w:r w:rsidRPr="006D488F">
        <w:rPr>
          <w:rFonts w:ascii="inherit" w:eastAsia="Times New Roman" w:hAnsi="inherit" w:cs="Segoe UI"/>
          <w:color w:val="FFFFFF"/>
          <w:sz w:val="23"/>
          <w:szCs w:val="23"/>
        </w:rPr>
        <w:t>Fincal</w:t>
      </w:r>
      <w:r w:rsidRPr="006D488F">
        <w:rPr>
          <w:rFonts w:ascii="inherit" w:eastAsia="Times New Roman" w:hAnsi="inherit" w:cs="Segoe UI"/>
          <w:color w:val="FFFFFF"/>
          <w:sz w:val="23"/>
          <w:szCs w:val="23"/>
          <w:rtl/>
        </w:rPr>
        <w:t xml:space="preserve"> آخر 10 سنوات </w:t>
      </w:r>
      <w:r w:rsidRPr="006D488F">
        <w:rPr>
          <w:rFonts w:ascii="inherit" w:eastAsia="Times New Roman" w:hAnsi="inherit" w:cs="Segoe UI"/>
          <w:color w:val="FFFFFF"/>
          <w:sz w:val="23"/>
          <w:szCs w:val="23"/>
        </w:rPr>
        <w:t>Fiacal</w:t>
      </w:r>
      <w:r w:rsidRPr="006D488F">
        <w:rPr>
          <w:rFonts w:ascii="inherit" w:eastAsia="Times New Roman" w:hAnsi="inherit" w:cs="Segoe UI"/>
          <w:color w:val="FFFFFF"/>
          <w:sz w:val="23"/>
          <w:szCs w:val="23"/>
          <w:rtl/>
        </w:rPr>
        <w:t xml:space="preserve"> معلومات التشغيل آخر 10 سنوات من الموضوعات المالية ويجب أن تستند فقط إلى الحقائق أو الشروط أو القرارات المعروفة حاليًا. يمكن لخادم الإحالة تغطية مواضيع أخرى ومناقشة الآثار المترتبة على الأحداث التي قد تحدث أو القرارات التي لم يتم اتخاذها بعد - مثل الآثار المحتملة المتوقعة للتوسع الكبير في شركة كبيرة في إطار الحكومة الفقهية. يجب ألا يتم تضمين التأثير المحتمل لمثل هذا القرار في </w:t>
      </w:r>
      <w:r w:rsidRPr="006D488F">
        <w:rPr>
          <w:rFonts w:ascii="inherit" w:eastAsia="Times New Roman" w:hAnsi="inherit" w:cs="Segoe UI"/>
          <w:color w:val="FFFFFF"/>
          <w:sz w:val="23"/>
          <w:szCs w:val="23"/>
        </w:rPr>
        <w:t>MD</w:t>
      </w:r>
      <w:r w:rsidRPr="006D488F">
        <w:rPr>
          <w:rFonts w:ascii="inherit" w:eastAsia="Times New Roman" w:hAnsi="inherit" w:cs="Segoe UI"/>
          <w:color w:val="FFFFFF"/>
          <w:sz w:val="23"/>
          <w:szCs w:val="23"/>
          <w:rtl/>
        </w:rPr>
        <w:t xml:space="preserve"> &amp; </w:t>
      </w:r>
      <w:r w:rsidRPr="006D488F">
        <w:rPr>
          <w:rFonts w:ascii="inherit" w:eastAsia="Times New Roman" w:hAnsi="inherit" w:cs="Segoe UI"/>
          <w:color w:val="FFFFFF"/>
          <w:sz w:val="23"/>
          <w:szCs w:val="23"/>
        </w:rPr>
        <w:t>A</w:t>
      </w:r>
      <w:r w:rsidRPr="006D488F">
        <w:rPr>
          <w:rFonts w:ascii="inherit" w:eastAsia="Times New Roman" w:hAnsi="inherit" w:cs="Segoe UI"/>
          <w:color w:val="FFFFFF"/>
          <w:sz w:val="23"/>
          <w:szCs w:val="23"/>
          <w:rtl/>
        </w:rPr>
        <w:t xml:space="preserve"> ما لم يتم اتخاذ القرار بحلول تاريخ تقرير المدقق. يحتوي القسم المالي من </w:t>
      </w:r>
      <w:r w:rsidRPr="006D488F">
        <w:rPr>
          <w:rFonts w:ascii="inherit" w:eastAsia="Times New Roman" w:hAnsi="inherit" w:cs="Segoe UI"/>
          <w:color w:val="FFFFFF"/>
          <w:sz w:val="23"/>
          <w:szCs w:val="23"/>
        </w:rPr>
        <w:t>CAFR</w:t>
      </w:r>
      <w:r w:rsidRPr="006D488F">
        <w:rPr>
          <w:rFonts w:ascii="inherit" w:eastAsia="Times New Roman" w:hAnsi="inherit" w:cs="Segoe UI"/>
          <w:color w:val="FFFFFF"/>
          <w:sz w:val="23"/>
          <w:szCs w:val="23"/>
          <w:rtl/>
        </w:rPr>
        <w:t xml:space="preserve"> لحكومة مع بنية كيان بسيط عدة أقسام فرعية: القسم المالي. تقرير مدققي الحسابات البيانات المالية الأساسية والمعلومات التكميلية المطلوبة. الدمج والبيانات المالية الخاصة بالصندوق والفردي إن التفسيرات التوضيحية ليست قسماً منفصلاً ولكنها ملاحظات على البيانات المالية المجمعة والصناديق الفردية. تقرير المدقق إن تقرير مدقق الحسابات عن البيانات المالية هو أول بند معروض في</w:t>
      </w:r>
    </w:p>
    <w:p w:rsidR="006D488F" w:rsidRPr="006D488F" w:rsidRDefault="006D488F" w:rsidP="006D488F">
      <w:pPr>
        <w:shd w:val="clear" w:color="auto" w:fill="0084FF"/>
        <w:bidi w:val="0"/>
        <w:spacing w:line="240" w:lineRule="auto"/>
        <w:rPr>
          <w:rFonts w:ascii="inherit" w:eastAsia="Times New Roman" w:hAnsi="inherit" w:cs="Segoe UI"/>
          <w:color w:val="FFFFFF"/>
          <w:sz w:val="23"/>
          <w:szCs w:val="23"/>
        </w:rPr>
      </w:pPr>
      <w:r w:rsidRPr="006D488F">
        <w:rPr>
          <w:rFonts w:ascii="inherit" w:eastAsia="Times New Roman" w:hAnsi="inherit" w:cs="Segoe UI"/>
          <w:color w:val="FFFFFF"/>
          <w:sz w:val="23"/>
          <w:szCs w:val="23"/>
        </w:rPr>
        <w:t xml:space="preserve">Auudiser The Hanorable </w:t>
      </w:r>
      <w:r w:rsidRPr="006D488F">
        <w:rPr>
          <w:rFonts w:ascii="inherit" w:eastAsia="Times New Roman" w:hAnsi="inherit" w:cs="Segoe UI"/>
          <w:color w:val="FFFFFF"/>
          <w:sz w:val="23"/>
          <w:szCs w:val="23"/>
          <w:rtl/>
        </w:rPr>
        <w:t>أعضاء مجلس إدارة</w:t>
      </w:r>
      <w:r w:rsidRPr="006D488F">
        <w:rPr>
          <w:rFonts w:ascii="inherit" w:eastAsia="Times New Roman" w:hAnsi="inherit" w:cs="Segoe UI"/>
          <w:color w:val="FFFFFF"/>
          <w:sz w:val="23"/>
          <w:szCs w:val="23"/>
        </w:rPr>
        <w:t xml:space="preserve"> Guiford County</w:t>
      </w:r>
      <w:r w:rsidRPr="006D488F">
        <w:rPr>
          <w:rFonts w:ascii="inherit" w:eastAsia="Times New Roman" w:hAnsi="inherit" w:cs="Segoe UI"/>
          <w:color w:val="FFFFFF"/>
          <w:sz w:val="23"/>
          <w:szCs w:val="23"/>
          <w:rtl/>
        </w:rPr>
        <w:t xml:space="preserve">، </w:t>
      </w:r>
      <w:r w:rsidRPr="006D488F">
        <w:rPr>
          <w:rFonts w:ascii="inherit" w:eastAsia="Times New Roman" w:hAnsi="inherit" w:cs="Segoe UI"/>
          <w:color w:val="FFFFFF"/>
          <w:sz w:val="23"/>
          <w:szCs w:val="23"/>
        </w:rPr>
        <w:t xml:space="preserve">North Carokina </w:t>
      </w:r>
      <w:r w:rsidRPr="006D488F">
        <w:rPr>
          <w:rFonts w:ascii="inherit" w:eastAsia="Times New Roman" w:hAnsi="inherit" w:cs="Segoe UI"/>
          <w:color w:val="FFFFFF"/>
          <w:sz w:val="23"/>
          <w:szCs w:val="23"/>
          <w:rtl/>
        </w:rPr>
        <w:t>لقد قمنا بمراجعة البيانات المالية المرفقة للنشاطين التابعين</w:t>
      </w:r>
      <w:r w:rsidRPr="006D488F">
        <w:rPr>
          <w:rFonts w:ascii="inherit" w:eastAsia="Times New Roman" w:hAnsi="inherit" w:cs="Segoe UI"/>
          <w:color w:val="FFFFFF"/>
          <w:sz w:val="23"/>
          <w:szCs w:val="23"/>
        </w:rPr>
        <w:t xml:space="preserve"> gvernrental </w:t>
      </w:r>
      <w:r w:rsidRPr="006D488F">
        <w:rPr>
          <w:rFonts w:ascii="inherit" w:eastAsia="Times New Roman" w:hAnsi="inherit" w:cs="Segoe UI"/>
          <w:color w:val="FFFFFF"/>
          <w:sz w:val="23"/>
          <w:szCs w:val="23"/>
          <w:rtl/>
        </w:rPr>
        <w:t>، وهو العنصر المقدم بشكل منفصل في مقاطعة</w:t>
      </w:r>
      <w:r w:rsidRPr="006D488F">
        <w:rPr>
          <w:rFonts w:ascii="inherit" w:eastAsia="Times New Roman" w:hAnsi="inherit" w:cs="Segoe UI"/>
          <w:color w:val="FFFFFF"/>
          <w:sz w:val="23"/>
          <w:szCs w:val="23"/>
        </w:rPr>
        <w:t xml:space="preserve"> Cudlord </w:t>
      </w:r>
      <w:r w:rsidRPr="006D488F">
        <w:rPr>
          <w:rFonts w:ascii="inherit" w:eastAsia="Times New Roman" w:hAnsi="inherit" w:cs="Segoe UI"/>
          <w:color w:val="FFFFFF"/>
          <w:sz w:val="23"/>
          <w:szCs w:val="23"/>
          <w:rtl/>
        </w:rPr>
        <w:t xml:space="preserve">، </w:t>
      </w:r>
      <w:r w:rsidRPr="006D488F">
        <w:rPr>
          <w:rFonts w:ascii="inherit" w:eastAsia="Times New Roman" w:hAnsi="inherit" w:cs="Segoe UI"/>
          <w:color w:val="FFFFFF"/>
          <w:sz w:val="23"/>
          <w:szCs w:val="23"/>
        </w:rPr>
        <w:t>North Carolins (</w:t>
      </w:r>
      <w:r w:rsidRPr="006D488F">
        <w:rPr>
          <w:rFonts w:ascii="inherit" w:eastAsia="Times New Roman" w:hAnsi="inherit" w:cs="Segoe UI"/>
          <w:color w:val="FFFFFF"/>
          <w:sz w:val="23"/>
          <w:szCs w:val="23"/>
          <w:rtl/>
        </w:rPr>
        <w:t>مقاطعة</w:t>
      </w:r>
      <w:r w:rsidRPr="006D488F">
        <w:rPr>
          <w:rFonts w:ascii="inherit" w:eastAsia="Times New Roman" w:hAnsi="inherit" w:cs="Segoe UI"/>
          <w:color w:val="FFFFFF"/>
          <w:sz w:val="23"/>
          <w:szCs w:val="23"/>
        </w:rPr>
        <w:t xml:space="preserve"> Tahle of Contents. </w:t>
      </w:r>
      <w:r w:rsidRPr="006D488F">
        <w:rPr>
          <w:rFonts w:ascii="inherit" w:eastAsia="Times New Roman" w:hAnsi="inherit" w:cs="Segoe UI"/>
          <w:color w:val="FFFFFF"/>
          <w:sz w:val="23"/>
          <w:szCs w:val="23"/>
          <w:rtl/>
        </w:rPr>
        <w:t>هذه الامتيازات المالية تفتح على هذه القوائم المالية البيانات التي أدلي بها على بياناتنا</w:t>
      </w:r>
      <w:r w:rsidRPr="006D488F">
        <w:rPr>
          <w:rFonts w:ascii="inherit" w:eastAsia="Times New Roman" w:hAnsi="inherit" w:cs="Segoe UI"/>
          <w:color w:val="FFFFFF"/>
          <w:sz w:val="23"/>
          <w:szCs w:val="23"/>
        </w:rPr>
        <w:t xml:space="preserve"> sdit </w:t>
      </w:r>
      <w:r w:rsidRPr="006D488F">
        <w:rPr>
          <w:rFonts w:ascii="inherit" w:eastAsia="Times New Roman" w:hAnsi="inherit" w:cs="Segoe UI"/>
          <w:color w:val="FFFFFF"/>
          <w:sz w:val="23"/>
          <w:szCs w:val="23"/>
          <w:rtl/>
        </w:rPr>
        <w:t>هي</w:t>
      </w:r>
      <w:r w:rsidRPr="006D488F">
        <w:rPr>
          <w:rFonts w:ascii="inherit" w:eastAsia="Times New Roman" w:hAnsi="inherit" w:cs="Segoe UI"/>
          <w:color w:val="FFFFFF"/>
          <w:sz w:val="23"/>
          <w:szCs w:val="23"/>
        </w:rPr>
        <w:t xml:space="preserve"> reeponsablity af </w:t>
      </w:r>
      <w:r w:rsidRPr="006D488F">
        <w:rPr>
          <w:rFonts w:ascii="inherit" w:eastAsia="Times New Roman" w:hAnsi="inherit" w:cs="Segoe UI"/>
          <w:color w:val="FFFFFF"/>
          <w:sz w:val="23"/>
          <w:szCs w:val="23"/>
          <w:rtl/>
        </w:rPr>
        <w:t>إدارة المقاطعة لدينا</w:t>
      </w:r>
      <w:r w:rsidRPr="006D488F">
        <w:rPr>
          <w:rFonts w:ascii="inherit" w:eastAsia="Times New Roman" w:hAnsi="inherit" w:cs="Segoe UI"/>
          <w:color w:val="FFFFFF"/>
          <w:sz w:val="23"/>
          <w:szCs w:val="23"/>
        </w:rPr>
        <w:t xml:space="preserve"> responshdlity </w:t>
      </w:r>
      <w:r w:rsidRPr="006D488F">
        <w:rPr>
          <w:rFonts w:ascii="inherit" w:eastAsia="Times New Roman" w:hAnsi="inherit" w:cs="Segoe UI"/>
          <w:color w:val="FFFFFF"/>
          <w:sz w:val="23"/>
          <w:szCs w:val="23"/>
          <w:rtl/>
        </w:rPr>
        <w:t>هو</w:t>
      </w:r>
      <w:r w:rsidRPr="006D488F">
        <w:rPr>
          <w:rFonts w:ascii="inherit" w:eastAsia="Times New Roman" w:hAnsi="inherit" w:cs="Segoe UI"/>
          <w:color w:val="FFFFFF"/>
          <w:sz w:val="23"/>
          <w:szCs w:val="23"/>
        </w:rPr>
        <w:t xml:space="preserve"> io </w:t>
      </w:r>
      <w:r w:rsidRPr="006D488F">
        <w:rPr>
          <w:rFonts w:ascii="inherit" w:eastAsia="Times New Roman" w:hAnsi="inherit" w:cs="Segoe UI"/>
          <w:color w:val="FFFFFF"/>
          <w:sz w:val="23"/>
          <w:szCs w:val="23"/>
          <w:rtl/>
        </w:rPr>
        <w:t>أجرينا</w:t>
      </w:r>
      <w:r w:rsidRPr="006D488F">
        <w:rPr>
          <w:rFonts w:ascii="inherit" w:eastAsia="Times New Roman" w:hAnsi="inherit" w:cs="Segoe UI"/>
          <w:color w:val="FFFFFF"/>
          <w:sz w:val="23"/>
          <w:szCs w:val="23"/>
        </w:rPr>
        <w:t xml:space="preserve"> auda </w:t>
      </w:r>
      <w:r w:rsidRPr="006D488F">
        <w:rPr>
          <w:rFonts w:ascii="inherit" w:eastAsia="Times New Roman" w:hAnsi="inherit" w:cs="Segoe UI"/>
          <w:color w:val="FFFFFF"/>
          <w:sz w:val="23"/>
          <w:szCs w:val="23"/>
          <w:rtl/>
        </w:rPr>
        <w:t>لدينا وفقا لمعايير</w:t>
      </w:r>
      <w:r w:rsidRPr="006D488F">
        <w:rPr>
          <w:rFonts w:ascii="inherit" w:eastAsia="Times New Roman" w:hAnsi="inherit" w:cs="Segoe UI"/>
          <w:color w:val="FFFFFF"/>
          <w:sz w:val="23"/>
          <w:szCs w:val="23"/>
        </w:rPr>
        <w:t xml:space="preserve"> sudlising </w:t>
      </w:r>
      <w:r w:rsidRPr="006D488F">
        <w:rPr>
          <w:rFonts w:ascii="inherit" w:eastAsia="Times New Roman" w:hAnsi="inherit" w:cs="Segoe UI"/>
          <w:color w:val="FFFFFF"/>
          <w:sz w:val="23"/>
          <w:szCs w:val="23"/>
          <w:rtl/>
        </w:rPr>
        <w:t>المقبولة عموما في الولايات المتحدة من</w:t>
      </w:r>
      <w:r w:rsidRPr="006D488F">
        <w:rPr>
          <w:rFonts w:ascii="inherit" w:eastAsia="Times New Roman" w:hAnsi="inherit" w:cs="Segoe UI"/>
          <w:color w:val="FFFFFF"/>
          <w:sz w:val="23"/>
          <w:szCs w:val="23"/>
        </w:rPr>
        <w:t xml:space="preserve"> Americs </w:t>
      </w:r>
      <w:r w:rsidRPr="006D488F">
        <w:rPr>
          <w:rFonts w:ascii="inherit" w:eastAsia="Times New Roman" w:hAnsi="inherit" w:cs="Segoe UI"/>
          <w:color w:val="FFFFFF"/>
          <w:sz w:val="23"/>
          <w:szCs w:val="23"/>
          <w:rtl/>
        </w:rPr>
        <w:t>و</w:t>
      </w:r>
      <w:r w:rsidRPr="006D488F">
        <w:rPr>
          <w:rFonts w:ascii="inherit" w:eastAsia="Times New Roman" w:hAnsi="inherit" w:cs="Segoe UI"/>
          <w:color w:val="FFFFFF"/>
          <w:sz w:val="23"/>
          <w:szCs w:val="23"/>
        </w:rPr>
        <w:t xml:space="preserve"> tandards </w:t>
      </w:r>
      <w:r w:rsidRPr="006D488F">
        <w:rPr>
          <w:rFonts w:ascii="inherit" w:eastAsia="Times New Roman" w:hAnsi="inherit" w:cs="Segoe UI"/>
          <w:color w:val="FFFFFF"/>
          <w:sz w:val="23"/>
          <w:szCs w:val="23"/>
          <w:rtl/>
        </w:rPr>
        <w:t>تنطبق على</w:t>
      </w:r>
      <w:r w:rsidRPr="006D488F">
        <w:rPr>
          <w:rFonts w:ascii="inherit" w:eastAsia="Times New Roman" w:hAnsi="inherit" w:cs="Segoe UI"/>
          <w:color w:val="FFFFFF"/>
          <w:sz w:val="23"/>
          <w:szCs w:val="23"/>
        </w:rPr>
        <w:t xml:space="preserve"> audil </w:t>
      </w:r>
      <w:r w:rsidRPr="006D488F">
        <w:rPr>
          <w:rFonts w:ascii="inherit" w:eastAsia="Times New Roman" w:hAnsi="inherit" w:cs="Segoe UI"/>
          <w:color w:val="FFFFFF"/>
          <w:sz w:val="23"/>
          <w:szCs w:val="23"/>
          <w:rtl/>
        </w:rPr>
        <w:t>المالية التي لا تزال في</w:t>
      </w:r>
      <w:r w:rsidRPr="006D488F">
        <w:rPr>
          <w:rFonts w:ascii="inherit" w:eastAsia="Times New Roman" w:hAnsi="inherit" w:cs="Segoe UI"/>
          <w:color w:val="FFFFFF"/>
          <w:sz w:val="23"/>
          <w:szCs w:val="23"/>
        </w:rPr>
        <w:t xml:space="preserve"> Governe Andaing Stanulands </w:t>
      </w:r>
      <w:r w:rsidRPr="006D488F">
        <w:rPr>
          <w:rFonts w:ascii="inherit" w:eastAsia="Times New Roman" w:hAnsi="inherit" w:cs="Segoe UI"/>
          <w:color w:val="FFFFFF"/>
          <w:sz w:val="23"/>
          <w:szCs w:val="23"/>
          <w:rtl/>
        </w:rPr>
        <w:t>، التي أزعجت من قبل</w:t>
      </w:r>
      <w:r w:rsidRPr="006D488F">
        <w:rPr>
          <w:rFonts w:ascii="inherit" w:eastAsia="Times New Roman" w:hAnsi="inherit" w:cs="Segoe UI"/>
          <w:color w:val="FFFFFF"/>
          <w:sz w:val="23"/>
          <w:szCs w:val="23"/>
        </w:rPr>
        <w:t xml:space="preserve"> citroliler ciencral </w:t>
      </w:r>
      <w:r w:rsidRPr="006D488F">
        <w:rPr>
          <w:rFonts w:ascii="inherit" w:eastAsia="Times New Roman" w:hAnsi="inherit" w:cs="Segoe UI"/>
          <w:color w:val="FFFFFF"/>
          <w:sz w:val="23"/>
          <w:szCs w:val="23"/>
          <w:rtl/>
        </w:rPr>
        <w:t>من معايير</w:t>
      </w:r>
      <w:r w:rsidRPr="006D488F">
        <w:rPr>
          <w:rFonts w:ascii="inherit" w:eastAsia="Times New Roman" w:hAnsi="inherit" w:cs="Segoe UI"/>
          <w:color w:val="FFFFFF"/>
          <w:sz w:val="23"/>
          <w:szCs w:val="23"/>
        </w:rPr>
        <w:t xml:space="preserve"> Stale Stales </w:t>
      </w:r>
      <w:r w:rsidRPr="006D488F">
        <w:rPr>
          <w:rFonts w:ascii="inherit" w:eastAsia="Times New Roman" w:hAnsi="inherit" w:cs="Segoe UI"/>
          <w:color w:val="FFFFFF"/>
          <w:sz w:val="23"/>
          <w:szCs w:val="23"/>
          <w:rtl/>
        </w:rPr>
        <w:t>المتحدة تتطلب منا أن نثبت و نؤثر على ما إذا كانت البيانات المالية خالية من الأخطاء الجوهرية.البيانات المالية الخاصة بمؤسسة</w:t>
      </w:r>
      <w:r w:rsidRPr="006D488F">
        <w:rPr>
          <w:rFonts w:ascii="inherit" w:eastAsia="Times New Roman" w:hAnsi="inherit" w:cs="Segoe UI"/>
          <w:color w:val="FFFFFF"/>
          <w:sz w:val="23"/>
          <w:szCs w:val="23"/>
        </w:rPr>
        <w:t xml:space="preserve"> GreensbotolCuford Tourism Development Autharity </w:t>
      </w:r>
      <w:r w:rsidRPr="006D488F">
        <w:rPr>
          <w:rFonts w:ascii="inherit" w:eastAsia="Times New Roman" w:hAnsi="inherit" w:cs="Segoe UI"/>
          <w:color w:val="FFFFFF"/>
          <w:sz w:val="23"/>
          <w:szCs w:val="23"/>
          <w:rtl/>
        </w:rPr>
        <w:t>لم يتم تدقيقها في</w:t>
      </w:r>
      <w:r w:rsidRPr="006D488F">
        <w:rPr>
          <w:rFonts w:ascii="inherit" w:eastAsia="Times New Roman" w:hAnsi="inherit" w:cs="Segoe UI"/>
          <w:color w:val="FFFFFF"/>
          <w:sz w:val="23"/>
          <w:szCs w:val="23"/>
        </w:rPr>
        <w:t xml:space="preserve"> aooordanee </w:t>
      </w:r>
      <w:r w:rsidRPr="006D488F">
        <w:rPr>
          <w:rFonts w:ascii="inherit" w:eastAsia="Times New Roman" w:hAnsi="inherit" w:cs="Segoe UI"/>
          <w:color w:val="FFFFFF"/>
          <w:sz w:val="23"/>
          <w:szCs w:val="23"/>
          <w:rtl/>
        </w:rPr>
        <w:t>مع</w:t>
      </w:r>
      <w:r w:rsidRPr="006D488F">
        <w:rPr>
          <w:rFonts w:ascii="inherit" w:eastAsia="Times New Roman" w:hAnsi="inherit" w:cs="Segoe UI"/>
          <w:color w:val="FFFFFF"/>
          <w:sz w:val="23"/>
          <w:szCs w:val="23"/>
        </w:rPr>
        <w:t xml:space="preserve"> Govenmni inSn dards. </w:t>
      </w:r>
      <w:r w:rsidRPr="006D488F">
        <w:rPr>
          <w:rFonts w:ascii="inherit" w:eastAsia="Times New Roman" w:hAnsi="inherit" w:cs="Segoe UI"/>
          <w:color w:val="FFFFFF"/>
          <w:sz w:val="23"/>
          <w:szCs w:val="23"/>
          <w:rtl/>
        </w:rPr>
        <w:t>تدل عملية المراجعة على أن</w:t>
      </w:r>
      <w:r w:rsidRPr="006D488F">
        <w:rPr>
          <w:rFonts w:ascii="inherit" w:eastAsia="Times New Roman" w:hAnsi="inherit" w:cs="Segoe UI"/>
          <w:color w:val="FFFFFF"/>
          <w:sz w:val="23"/>
          <w:szCs w:val="23"/>
        </w:rPr>
        <w:t xml:space="preserve"> evidencr </w:t>
      </w:r>
      <w:r w:rsidRPr="006D488F">
        <w:rPr>
          <w:rFonts w:ascii="inherit" w:eastAsia="Times New Roman" w:hAnsi="inherit" w:cs="Segoe UI"/>
          <w:color w:val="FFFFFF"/>
          <w:sz w:val="23"/>
          <w:szCs w:val="23"/>
          <w:rtl/>
        </w:rPr>
        <w:t>تقوم بتغطية المبالغ والإفصاحات في الحساب المالي</w:t>
      </w:r>
      <w:r w:rsidRPr="006D488F">
        <w:rPr>
          <w:rFonts w:ascii="inherit" w:eastAsia="Times New Roman" w:hAnsi="inherit" w:cs="Segoe UI"/>
          <w:color w:val="FFFFFF"/>
          <w:sz w:val="23"/>
          <w:szCs w:val="23"/>
        </w:rPr>
        <w:t xml:space="preserve"> aatit abo inclados </w:t>
      </w:r>
      <w:r w:rsidRPr="006D488F">
        <w:rPr>
          <w:rFonts w:ascii="inherit" w:eastAsia="Times New Roman" w:hAnsi="inherit" w:cs="Segoe UI"/>
          <w:color w:val="FFFFFF"/>
          <w:sz w:val="23"/>
          <w:szCs w:val="23"/>
          <w:rtl/>
        </w:rPr>
        <w:t>بفرض المبادئ المحاسبية المستخدمة والتقديرات الهامة التي أدت إلى إدارة</w:t>
      </w:r>
      <w:r w:rsidRPr="006D488F">
        <w:rPr>
          <w:rFonts w:ascii="inherit" w:eastAsia="Times New Roman" w:hAnsi="inherit" w:cs="Segoe UI"/>
          <w:color w:val="FFFFFF"/>
          <w:sz w:val="23"/>
          <w:szCs w:val="23"/>
        </w:rPr>
        <w:t xml:space="preserve"> ly </w:t>
      </w:r>
      <w:r w:rsidRPr="006D488F">
        <w:rPr>
          <w:rFonts w:ascii="inherit" w:eastAsia="Times New Roman" w:hAnsi="inherit" w:cs="Segoe UI"/>
          <w:color w:val="FFFFFF"/>
          <w:sz w:val="23"/>
          <w:szCs w:val="23"/>
          <w:rtl/>
        </w:rPr>
        <w:t>، بالإضافة إلى تقييم بيان العرض العام ، نعتقد أن لدينا أساسًا قابلًا للتضمين لأفكارنا. رأينا في التدقيق الذي أجريناه ، أن البيانات المالية التي تم التحقق منها إلى أعلى من القيمة العادلة ، في جميع النواحي المتعلقة بالموظفين ، وأنشطة الحكومة المالية المعنية هي الوحدة المكونة للوحدة ، ولكل صندوق ، والصندوق العام للسنة المنتهية في ذلك التاريخ. معلومات صندوق إعادة التمويل من</w:t>
      </w:r>
      <w:r w:rsidRPr="006D488F">
        <w:rPr>
          <w:rFonts w:ascii="inherit" w:eastAsia="Times New Roman" w:hAnsi="inherit" w:cs="Segoe UI"/>
          <w:color w:val="FFFFFF"/>
          <w:sz w:val="23"/>
          <w:szCs w:val="23"/>
        </w:rPr>
        <w:t xml:space="preserve"> coranty a </w:t>
      </w:r>
      <w:r w:rsidRPr="006D488F">
        <w:rPr>
          <w:rFonts w:ascii="inherit" w:eastAsia="Times New Roman" w:hAnsi="inherit" w:cs="Segoe UI"/>
          <w:color w:val="FFFFFF"/>
          <w:sz w:val="23"/>
          <w:szCs w:val="23"/>
          <w:rtl/>
        </w:rPr>
        <w:t>من يونيو 230</w:t>
      </w:r>
      <w:r w:rsidRPr="006D488F">
        <w:rPr>
          <w:rFonts w:ascii="inherit" w:eastAsia="Times New Roman" w:hAnsi="inherit" w:cs="Segoe UI"/>
          <w:color w:val="FFFFFF"/>
          <w:sz w:val="23"/>
          <w:szCs w:val="23"/>
        </w:rPr>
        <w:t xml:space="preserve">.oxi </w:t>
      </w:r>
      <w:r w:rsidRPr="006D488F">
        <w:rPr>
          <w:rFonts w:ascii="inherit" w:eastAsia="Times New Roman" w:hAnsi="inherit" w:cs="Segoe UI"/>
          <w:color w:val="FFFFFF"/>
          <w:sz w:val="23"/>
          <w:szCs w:val="23"/>
          <w:rtl/>
        </w:rPr>
        <w:t>، والتغيرات الفعالة في التدفقات النقدية</w:t>
      </w:r>
      <w:r w:rsidRPr="006D488F">
        <w:rPr>
          <w:rFonts w:ascii="inherit" w:eastAsia="Times New Roman" w:hAnsi="inherit" w:cs="Segoe UI"/>
          <w:color w:val="FFFFFF"/>
          <w:sz w:val="23"/>
          <w:szCs w:val="23"/>
        </w:rPr>
        <w:t xml:space="preserve"> tinancal </w:t>
      </w:r>
      <w:r w:rsidRPr="006D488F">
        <w:rPr>
          <w:rFonts w:ascii="inherit" w:eastAsia="Times New Roman" w:hAnsi="inherit" w:cs="Segoe UI"/>
          <w:color w:val="FFFFFF"/>
          <w:sz w:val="23"/>
          <w:szCs w:val="23"/>
          <w:rtl/>
        </w:rPr>
        <w:t>حيث</w:t>
      </w:r>
      <w:r w:rsidRPr="006D488F">
        <w:rPr>
          <w:rFonts w:ascii="inherit" w:eastAsia="Times New Roman" w:hAnsi="inherit" w:cs="Segoe UI"/>
          <w:color w:val="FFFFFF"/>
          <w:sz w:val="23"/>
          <w:szCs w:val="23"/>
        </w:rPr>
        <w:t xml:space="preserve"> applieable </w:t>
      </w:r>
      <w:r w:rsidRPr="006D488F">
        <w:rPr>
          <w:rFonts w:ascii="inherit" w:eastAsia="Times New Roman" w:hAnsi="inherit" w:cs="Segoe UI"/>
          <w:color w:val="FFFFFF"/>
          <w:sz w:val="23"/>
          <w:szCs w:val="23"/>
          <w:rtl/>
        </w:rPr>
        <w:t xml:space="preserve">، </w:t>
      </w:r>
      <w:r w:rsidRPr="006D488F">
        <w:rPr>
          <w:rFonts w:ascii="inherit" w:eastAsia="Times New Roman" w:hAnsi="inherit" w:cs="Segoe UI"/>
          <w:color w:val="FFFFFF"/>
          <w:sz w:val="23"/>
          <w:szCs w:val="23"/>
        </w:rPr>
        <w:t xml:space="preserve">dhereof </w:t>
      </w:r>
      <w:r w:rsidRPr="006D488F">
        <w:rPr>
          <w:rFonts w:ascii="inherit" w:eastAsia="Times New Roman" w:hAnsi="inherit" w:cs="Segoe UI"/>
          <w:color w:val="FFFFFF"/>
          <w:sz w:val="23"/>
          <w:szCs w:val="23"/>
          <w:rtl/>
        </w:rPr>
        <w:t>و</w:t>
      </w:r>
      <w:r w:rsidRPr="006D488F">
        <w:rPr>
          <w:rFonts w:ascii="inherit" w:eastAsia="Times New Roman" w:hAnsi="inherit" w:cs="Segoe UI"/>
          <w:color w:val="FFFFFF"/>
          <w:sz w:val="23"/>
          <w:szCs w:val="23"/>
        </w:rPr>
        <w:t xml:space="preserve"> fornsity </w:t>
      </w:r>
      <w:r w:rsidRPr="006D488F">
        <w:rPr>
          <w:rFonts w:ascii="inherit" w:eastAsia="Times New Roman" w:hAnsi="inherit" w:cs="Segoe UI"/>
          <w:color w:val="FFFFFF"/>
          <w:sz w:val="23"/>
          <w:szCs w:val="23"/>
          <w:rtl/>
        </w:rPr>
        <w:t>مع مبادئ المحاسبة</w:t>
      </w:r>
      <w:r w:rsidRPr="006D488F">
        <w:rPr>
          <w:rFonts w:ascii="inherit" w:eastAsia="Times New Roman" w:hAnsi="inherit" w:cs="Segoe UI"/>
          <w:color w:val="FFFFFF"/>
          <w:sz w:val="23"/>
          <w:szCs w:val="23"/>
        </w:rPr>
        <w:t xml:space="preserve"> generaty</w:t>
      </w:r>
    </w:p>
    <w:p w:rsidR="006D488F" w:rsidRPr="006D488F" w:rsidRDefault="006D488F" w:rsidP="001406E2">
      <w:pPr>
        <w:shd w:val="clear" w:color="auto" w:fill="0084FF"/>
        <w:bidi w:val="0"/>
        <w:spacing w:line="240" w:lineRule="auto"/>
        <w:rPr>
          <w:rFonts w:ascii="inherit" w:eastAsia="Times New Roman" w:hAnsi="inherit" w:cs="Segoe UI"/>
          <w:color w:val="FFFFFF"/>
          <w:sz w:val="23"/>
          <w:szCs w:val="23"/>
        </w:rPr>
      </w:pPr>
      <w:r w:rsidRPr="006D488F">
        <w:rPr>
          <w:rFonts w:ascii="inherit" w:eastAsia="Times New Roman" w:hAnsi="inherit" w:cs="Segoe UI"/>
          <w:color w:val="FFFFFF"/>
          <w:sz w:val="23"/>
          <w:szCs w:val="23"/>
        </w:rPr>
        <w:t xml:space="preserve">joommument </w:t>
      </w:r>
      <w:r w:rsidRPr="006D488F">
        <w:rPr>
          <w:rFonts w:ascii="inherit" w:eastAsia="Times New Roman" w:hAnsi="inherit" w:cs="Segoe UI"/>
          <w:color w:val="FFFFFF"/>
          <w:sz w:val="23"/>
          <w:szCs w:val="23"/>
          <w:rtl/>
        </w:rPr>
        <w:t>تدقيق الحسابات</w:t>
      </w:r>
      <w:r w:rsidRPr="006D488F">
        <w:rPr>
          <w:rFonts w:ascii="inherit" w:eastAsia="Times New Roman" w:hAnsi="inherit" w:cs="Segoe UI"/>
          <w:color w:val="FFFFFF"/>
          <w:sz w:val="23"/>
          <w:szCs w:val="23"/>
        </w:rPr>
        <w:t xml:space="preserve"> Stansdards </w:t>
      </w:r>
      <w:r w:rsidRPr="006D488F">
        <w:rPr>
          <w:rFonts w:ascii="inherit" w:eastAsia="Times New Roman" w:hAnsi="inherit" w:cs="Segoe UI"/>
          <w:color w:val="FFFFFF"/>
          <w:sz w:val="23"/>
          <w:szCs w:val="23"/>
          <w:rtl/>
        </w:rPr>
        <w:t>، أصدر</w:t>
      </w:r>
      <w:r w:rsidRPr="006D488F">
        <w:rPr>
          <w:rFonts w:ascii="inherit" w:eastAsia="Times New Roman" w:hAnsi="inherit" w:cs="Segoe UI"/>
          <w:color w:val="FFFFFF"/>
          <w:sz w:val="23"/>
          <w:szCs w:val="23"/>
        </w:rPr>
        <w:t xml:space="preserve"> </w:t>
      </w:r>
      <w:r w:rsidRPr="006D488F">
        <w:rPr>
          <w:rFonts w:ascii="inherit" w:eastAsia="Times New Roman" w:hAnsi="inherit" w:cs="Segoe UI"/>
          <w:color w:val="FFFFFF"/>
          <w:sz w:val="23"/>
          <w:szCs w:val="23"/>
          <w:rtl/>
        </w:rPr>
        <w:t>تقريرنا بتاريخ ديسمبر / كانون الأول 2 ديسمبر / كانون الأول على اعتبارنا للرقابة الداخلية للمقاطعة على التقارير المالية وعلى اختباراتنا الخاصة بتوافقها مع بعض أحكام اتفاقيات المنح ، ومسائل أخرى الغرض من هذا التقرير هو وصف نطاق التقارير المالية والامتثال ونتائج هذا الاختبار وعدم تقديم تقارير مالية أو عن الالتزام بأن</w:t>
      </w:r>
      <w:r w:rsidRPr="006D488F">
        <w:rPr>
          <w:rFonts w:ascii="inherit" w:eastAsia="Times New Roman" w:hAnsi="inherit" w:cs="Segoe UI"/>
          <w:color w:val="FFFFFF"/>
          <w:sz w:val="23"/>
          <w:szCs w:val="23"/>
        </w:rPr>
        <w:t xml:space="preserve"> repont </w:t>
      </w:r>
      <w:r w:rsidRPr="006D488F">
        <w:rPr>
          <w:rFonts w:ascii="inherit" w:eastAsia="Times New Roman" w:hAnsi="inherit" w:cs="Segoe UI"/>
          <w:color w:val="FFFFFF"/>
          <w:sz w:val="23"/>
          <w:szCs w:val="23"/>
          <w:rtl/>
        </w:rPr>
        <w:t>جزء لا يتجزأ من التدقيق الذي تم إجراؤه في</w:t>
      </w:r>
      <w:r w:rsidRPr="006D488F">
        <w:rPr>
          <w:rFonts w:ascii="inherit" w:eastAsia="Times New Roman" w:hAnsi="inherit" w:cs="Segoe UI"/>
          <w:color w:val="FFFFFF"/>
          <w:sz w:val="23"/>
          <w:szCs w:val="23"/>
        </w:rPr>
        <w:t xml:space="preserve"> Ghandmment Audising Sandands </w:t>
      </w:r>
      <w:r w:rsidRPr="006D488F">
        <w:rPr>
          <w:rFonts w:ascii="inherit" w:eastAsia="Times New Roman" w:hAnsi="inherit" w:cs="Segoe UI"/>
          <w:color w:val="FFFFFF"/>
          <w:sz w:val="23"/>
          <w:szCs w:val="23"/>
          <w:rtl/>
        </w:rPr>
        <w:t xml:space="preserve">وينبغي أن يؤخذ في الاعتبار عند تقييم نتائج مراجعتنا بشكل عام </w:t>
      </w:r>
      <w:r w:rsidRPr="006D488F">
        <w:rPr>
          <w:rFonts w:ascii="inherit" w:eastAsia="Times New Roman" w:hAnsi="inherit" w:cs="Segoe UI"/>
          <w:color w:val="FFFFFF"/>
          <w:sz w:val="23"/>
          <w:szCs w:val="23"/>
          <w:rtl/>
        </w:rPr>
        <w:lastRenderedPageBreak/>
        <w:t>قبلت في الولايات المتحدة الأمريكية بأن يتم عرض مناقشة الإدارة والمعلومات التكميلية كما هي مدرجة في جدول المحتويات لتكملة المعلومات المالية الأساسية إلى هذه البيانات ، على الرغم من أنها ليست جزءًا من البيانات المالية الأساسية المطلوبة في المحاسبة الحكومية. مجلس المعايير ، الذي يعتبره جزءًا أساسيًا من النظام المالي الترحيل لوضع البيانات المالية الأساسية في سياق تشغيلي ملائم ، أو اقتصادي ، أو تاريخي ، لقد قمنا بتطبيق معلومات تكميلية محدودة من</w:t>
      </w:r>
      <w:r w:rsidRPr="006D488F">
        <w:rPr>
          <w:rFonts w:ascii="inherit" w:eastAsia="Times New Roman" w:hAnsi="inherit" w:cs="Segoe UI"/>
          <w:color w:val="FFFFFF"/>
          <w:sz w:val="23"/>
          <w:szCs w:val="23"/>
        </w:rPr>
        <w:t xml:space="preserve"> cenain pro </w:t>
      </w:r>
      <w:r w:rsidRPr="006D488F">
        <w:rPr>
          <w:rFonts w:ascii="inherit" w:eastAsia="Times New Roman" w:hAnsi="inherit" w:cs="Segoe UI"/>
          <w:color w:val="FFFFFF"/>
          <w:sz w:val="23"/>
          <w:szCs w:val="23"/>
          <w:rtl/>
        </w:rPr>
        <w:t>التكميلية وفقًا لمعايير التدقيق المقبولة عمومًا في الولايات المتحدة الأمريكية ، والتي تتألف من استفسارات حول الإدارة حول المعلومات للتوافق مع المعلومات والمقارنة التي حصلنا عليها أثناء تدقيقنا للبيانات المالية األساسية. لا نعبر عن رأي أو نقدم أي معلومات عن المعلومات لأن الإجراءات المحدودة لا تزودنا بما يكفي من التبريرات لإفساد الرأي أو تم إجراء تدقيقنا بغرض تكوين آراء حول البيانات المالية التي تشكل مجتمعةً المحافظة الأساسية القوائم المالية. يتم تقديم بيانات وجداول التمويل المجمعة والأفراد ، وبيانات التمويل الإضافية كما هو موضح في جدول المحتويات لأغراض التحليل الإضافي وليست جزءًا مطلوبًا من البيانات المالية الأساسية جداول البيانات المالية للجمع والفرز المالي ، و تقع البيانات المالية الإضافية على عاتق الإدارة وهي مستمدة مباشرة من السجلات المحاسبية وغيرها من السجلات المستخدمة في إعداد البيانات المالية وتتعلق بها مباشرة. وقد خضعت هذه المعلومات لإجراءات مراجعة الحسابات المطبقة في مراجعة البيانات المالية الأساسية وبعض الإضافات الأخرى. الإجراءات ، بما في ذلك مقارنة هذه المعلومات وتوفيقها مباشرة مع السجلات المحاسبية الأساسية والسجلات الأخرى المستخدمة لإعداد البيانات المالية أو البيانات المالية نفسها ، وغيرها من الإجراءات الإضافية وفقاً لمعايير التدقيق المعتمدة في الولايات المتحدة الأمريكية. في رأينا ، يتم ذكر المعلومات بشكل عادل ، من جميع النواحي المادية في الانهيار إلى البيانات المالية الأساسية المتخذة ككل. لم يتم إخضاع الأقسام التمهيدية والإحصائية لإجراءات التدقيق المطبقة في البيانات المالية الأساسية ، وبالتالي فإننا لا نعبر عن رأي أ</w:t>
      </w:r>
    </w:p>
    <w:p w:rsidR="006D488F" w:rsidRPr="006D488F" w:rsidRDefault="006D488F" w:rsidP="006D488F">
      <w:pPr>
        <w:shd w:val="clear" w:color="auto" w:fill="0084FF"/>
        <w:spacing w:line="240" w:lineRule="auto"/>
        <w:rPr>
          <w:rFonts w:ascii="inherit" w:eastAsia="Times New Roman" w:hAnsi="inherit" w:cs="Segoe UI"/>
          <w:color w:val="FFFFFF"/>
          <w:sz w:val="23"/>
          <w:szCs w:val="23"/>
        </w:rPr>
      </w:pPr>
      <w:r w:rsidRPr="006D488F">
        <w:rPr>
          <w:rFonts w:ascii="inherit" w:eastAsia="Times New Roman" w:hAnsi="inherit" w:cs="Segoe UI"/>
          <w:color w:val="FFFFFF"/>
          <w:sz w:val="23"/>
          <w:szCs w:val="23"/>
          <w:rtl/>
        </w:rPr>
        <w:t>608 الفصل لا تتم تغطية التقارير المالية من خلال الرأي. يتم التعامل مع هذه البنود على أنها بيانات مصاحبة (</w:t>
      </w:r>
      <w:r w:rsidRPr="006D488F">
        <w:rPr>
          <w:rFonts w:ascii="inherit" w:eastAsia="Times New Roman" w:hAnsi="inherit" w:cs="Segoe UI"/>
          <w:color w:val="FFFFFF"/>
          <w:sz w:val="23"/>
          <w:szCs w:val="23"/>
        </w:rPr>
        <w:t xml:space="preserve">sup plementary) </w:t>
      </w:r>
      <w:r w:rsidRPr="006D488F">
        <w:rPr>
          <w:rFonts w:ascii="inherit" w:eastAsia="Times New Roman" w:hAnsi="inherit" w:cs="Segoe UI"/>
          <w:color w:val="FFFFFF"/>
          <w:sz w:val="23"/>
          <w:szCs w:val="23"/>
          <w:rtl/>
        </w:rPr>
        <w:t>مقدمة لأغراض التحليل الإضافي في بعض عمليات تدقيق البيان المالي ، يغطي تقرير المدقق كلاً من التوزيع العادل للبيانات المالية الخاصة بالهيدر وعرض الشرائح للبيانات المالية المجمعة والخاصة بالصناديق الفردية. منذ فترة طويلة أوصى هذا التدقيق "ثنائي الرأي" الهيئات مجلس معايير المحاسبة الحكومية (</w:t>
      </w:r>
      <w:r w:rsidRPr="006D488F">
        <w:rPr>
          <w:rFonts w:ascii="inherit" w:eastAsia="Times New Roman" w:hAnsi="inherit" w:cs="Segoe UI"/>
          <w:color w:val="FFFFFF"/>
          <w:sz w:val="23"/>
          <w:szCs w:val="23"/>
        </w:rPr>
        <w:t xml:space="preserve">GASB) </w:t>
      </w:r>
      <w:r w:rsidRPr="006D488F">
        <w:rPr>
          <w:rFonts w:ascii="inherit" w:eastAsia="Times New Roman" w:hAnsi="inherit" w:cs="Segoe UI"/>
          <w:color w:val="FFFFFF"/>
          <w:sz w:val="23"/>
          <w:szCs w:val="23"/>
          <w:rtl/>
        </w:rPr>
        <w:t xml:space="preserve">ومن قبل جمعية ضباط المالية الحكومية ، ولكن لا يتم استرجاعها ما لم يفرضها القانون أو اللوائح المتعلقة بحكومات معينة. تغطي البيانات المالية الأساسية والمعلومات الضرورية الإضافية الفصل 13 الحد الأدنى من متطلبات التقارير المالية للأغراض العامة للأغراض العامة ، والتي تشمل التحليل الإداري للمناقشة (المتطلبات المالية التكميلية الأساسية - الاستراتيجيات المالية على مستوى القطاع المالي البيانات المالية على مستوى القطاع المالي (أو كل فئة من فئات الصناديق) </w:t>
      </w:r>
      <w:r w:rsidRPr="006D488F">
        <w:rPr>
          <w:rFonts w:ascii="inherit" w:eastAsia="Times New Roman" w:hAnsi="inherit" w:cs="Segoe UI"/>
          <w:color w:val="FFFFFF"/>
          <w:sz w:val="23"/>
          <w:szCs w:val="23"/>
        </w:rPr>
        <w:t>Noles to</w:t>
      </w:r>
      <w:r w:rsidRPr="006D488F">
        <w:rPr>
          <w:rFonts w:ascii="inherit" w:eastAsia="Times New Roman" w:hAnsi="inherit" w:cs="Segoe UI"/>
          <w:color w:val="FFFFFF"/>
          <w:sz w:val="23"/>
          <w:szCs w:val="23"/>
          <w:rtl/>
        </w:rPr>
        <w:t xml:space="preserve"> اﻟﻘواﺋم اﻟﻣﺎﻟﯾﺔ اﻷﺧرى اﻟﻣطﻟوب اﻟﺗﮐﻣﯾﻟﻲ اﻟﻣطﻟوب ھذه اﻟﻣﮐوﻧﺎت اﻟﺗﻲ ﺗم ﻣراﺟﻌﺗﮭﺎ ، وﻟﮐن اﻟﻔﮭم اﻹﺿﺎﻓﻲ اﻷﺳﺎﺳﻲ ﻣن ھذا اﻟﻔﺻل ھو أن </w:t>
      </w:r>
      <w:r w:rsidRPr="006D488F">
        <w:rPr>
          <w:rFonts w:ascii="inherit" w:eastAsia="Times New Roman" w:hAnsi="inherit" w:cs="Segoe UI"/>
          <w:color w:val="FFFFFF"/>
          <w:sz w:val="23"/>
          <w:szCs w:val="23"/>
        </w:rPr>
        <w:t>GASB ﺗ</w:t>
      </w:r>
      <w:r w:rsidRPr="006D488F">
        <w:rPr>
          <w:rFonts w:ascii="inherit" w:eastAsia="Times New Roman" w:hAnsi="inherit" w:cs="Segoe UI"/>
          <w:color w:val="FFFFFF"/>
          <w:sz w:val="23"/>
          <w:szCs w:val="23"/>
          <w:rtl/>
        </w:rPr>
        <w:t xml:space="preserve">وﺻﻲ ﺑﺈﺗﺎﺣﺔ ھذا اﻟﻣﻌﻟوﻣﺎت ﻓﻲ ﺳﯾﺎق </w:t>
      </w:r>
      <w:r w:rsidRPr="006D488F">
        <w:rPr>
          <w:rFonts w:ascii="inherit" w:eastAsia="Times New Roman" w:hAnsi="inherit" w:cs="Segoe UI"/>
          <w:color w:val="FFFFFF"/>
          <w:sz w:val="23"/>
          <w:szCs w:val="23"/>
        </w:rPr>
        <w:t xml:space="preserve">CAFR - </w:t>
      </w:r>
      <w:r w:rsidRPr="006D488F">
        <w:rPr>
          <w:rFonts w:ascii="inherit" w:eastAsia="Times New Roman" w:hAnsi="inherit" w:cs="Segoe UI"/>
          <w:color w:val="FFFFFF"/>
          <w:sz w:val="23"/>
          <w:szCs w:val="23"/>
          <w:rtl/>
        </w:rPr>
        <w:t xml:space="preserve">وﻟﯾس ﻓﻘط ﮐﺗﻘرﯾر ﻣﺎﻟﻲ ﻣﻧﻔﺻل. بيانات وجداول الصناديق الفردية تم تقديم كل من البيانات المالية المجمعة والصناديق الفردية في فصول من الفصول ، وكانت بعض الأمثلة جزءًا لا يتجزأ من الأمثلة التوضيحية ، والبعض الآخر أمثلة توضيحية من حكومات فعلية ، كما هو واضح من هذه الصناديق ومن الرسوم البيانية في </w:t>
      </w:r>
      <w:r w:rsidRPr="006D488F">
        <w:rPr>
          <w:rFonts w:ascii="inherit" w:eastAsia="Times New Roman" w:hAnsi="inherit" w:cs="Segoe UI"/>
          <w:color w:val="FFFFFF"/>
          <w:sz w:val="23"/>
          <w:szCs w:val="23"/>
        </w:rPr>
        <w:t>Illustration 15 -3</w:t>
      </w:r>
      <w:r w:rsidRPr="006D488F">
        <w:rPr>
          <w:rFonts w:ascii="inherit" w:eastAsia="Times New Roman" w:hAnsi="inherit" w:cs="Segoe UI"/>
          <w:color w:val="FFFFFF"/>
          <w:sz w:val="23"/>
          <w:szCs w:val="23"/>
          <w:rtl/>
        </w:rPr>
        <w:t xml:space="preserve"> ، كومبي تركز بيانات </w:t>
      </w:r>
      <w:r w:rsidRPr="006D488F">
        <w:rPr>
          <w:rFonts w:ascii="inherit" w:eastAsia="Times New Roman" w:hAnsi="inherit" w:cs="Segoe UI"/>
          <w:color w:val="FFFFFF"/>
          <w:sz w:val="23"/>
          <w:szCs w:val="23"/>
        </w:rPr>
        <w:t>ning</w:t>
      </w:r>
      <w:r w:rsidRPr="006D488F">
        <w:rPr>
          <w:rFonts w:ascii="inherit" w:eastAsia="Times New Roman" w:hAnsi="inherit" w:cs="Segoe UI"/>
          <w:color w:val="FFFFFF"/>
          <w:sz w:val="23"/>
          <w:szCs w:val="23"/>
          <w:rtl/>
        </w:rPr>
        <w:t xml:space="preserve"> على تقديم معلومات حول كل صندوق في مجموعة مشتركة أو مجموعة فرعية من الصناديق يتم تجميع معلومات التمويل الفردي في بيان الجمع في عمود كلي. كما هو موضح في الرسم التوضيحي 15-3 ، يتضح هذا العمود الإجمالي مع مبلغ ذي صلة في أحد البيانات المالية لشركة </w:t>
      </w:r>
      <w:r w:rsidRPr="006D488F">
        <w:rPr>
          <w:rFonts w:ascii="inherit" w:eastAsia="Times New Roman" w:hAnsi="inherit" w:cs="Segoe UI"/>
          <w:color w:val="FFFFFF"/>
          <w:sz w:val="23"/>
          <w:szCs w:val="23"/>
        </w:rPr>
        <w:t xml:space="preserve">Banic. </w:t>
      </w:r>
      <w:r w:rsidRPr="006D488F">
        <w:rPr>
          <w:rFonts w:ascii="inherit" w:eastAsia="Times New Roman" w:hAnsi="inherit" w:cs="Segoe UI"/>
          <w:color w:val="FFFFFF"/>
          <w:sz w:val="23"/>
          <w:szCs w:val="23"/>
          <w:rtl/>
        </w:rPr>
        <w:t xml:space="preserve">مطلوب الجمع بين البيانات في </w:t>
      </w:r>
      <w:r w:rsidRPr="006D488F">
        <w:rPr>
          <w:rFonts w:ascii="inherit" w:eastAsia="Times New Roman" w:hAnsi="inherit" w:cs="Segoe UI"/>
          <w:color w:val="FFFFFF"/>
          <w:sz w:val="23"/>
          <w:szCs w:val="23"/>
        </w:rPr>
        <w:t>CAFR</w:t>
      </w:r>
      <w:r w:rsidRPr="006D488F">
        <w:rPr>
          <w:rFonts w:ascii="inherit" w:eastAsia="Times New Roman" w:hAnsi="inherit" w:cs="Segoe UI"/>
          <w:color w:val="FFFFFF"/>
          <w:sz w:val="23"/>
          <w:szCs w:val="23"/>
          <w:rtl/>
        </w:rPr>
        <w:t xml:space="preserve"> لدعم أي معلومات في </w:t>
      </w:r>
      <w:r w:rsidRPr="006D488F">
        <w:rPr>
          <w:rFonts w:ascii="inherit" w:eastAsia="Times New Roman" w:hAnsi="inherit" w:cs="Segoe UI"/>
          <w:color w:val="FFFFFF"/>
          <w:sz w:val="23"/>
          <w:szCs w:val="23"/>
        </w:rPr>
        <w:t>sxtatements</w:t>
      </w:r>
      <w:r w:rsidRPr="006D488F">
        <w:rPr>
          <w:rFonts w:ascii="inherit" w:eastAsia="Times New Roman" w:hAnsi="inherit" w:cs="Segoe UI"/>
          <w:color w:val="FFFFFF"/>
          <w:sz w:val="23"/>
          <w:szCs w:val="23"/>
          <w:rtl/>
        </w:rPr>
        <w:t xml:space="preserve"> المالية الصندوق الذي يجمع البيانات من اثنين أو أكثر من الصناديق ملاحظة في الرسم التوضيحي 15-3 أن يتم تجميع الأموال الحكومية غير الحكومية في عمود واحد في البيانات المالية الصناديق الحكومية ، بغض النظر عن نوع صندوق معين. ولذلك ، يجب أن يكون هناك بيان مالي يجمع جميعهم. هذا البيان يجمع مع ، ويوفر معلومات صندوق فردية لدعم ، "أخرى (غير أموال) في العمود الأموال" في البيانات المالية الصناديق الحكومية. إذا كانت البيانات الخاصة بكل من هذه الصناديق الحكومية غير الحكومية ومجموعتها بالمثل ، يجب تقديم البيانات المجمعة لصناديق الشركات غير الأغرض لدعم "بيانات الصناديق الأخرى (غير الهامة) في البيانات المالية للصناديق الاستهلالية. المعلومات المقدمة في الصندوق يتم تجميع البيانات المالية لكل نوع من أنواع الصناديق الأخرى حسب نوع الصندوق ، لذلك تلزم مجموعة من البيانات المالية لكل نوع من أنواع الصناديق الأخرى - صناديق الخدمة الداخلية وصناديق الاستئمانات التقاعدية وصناديق الأمانة الاستئمانية للأغراض الخاصة والوكالة. (ولكن </w:t>
      </w:r>
      <w:r w:rsidRPr="006D488F">
        <w:rPr>
          <w:rFonts w:ascii="inherit" w:eastAsia="Times New Roman" w:hAnsi="inherit" w:cs="Segoe UI"/>
          <w:color w:val="FFFFFF"/>
          <w:sz w:val="23"/>
          <w:szCs w:val="23"/>
          <w:rtl/>
        </w:rPr>
        <w:lastRenderedPageBreak/>
        <w:t xml:space="preserve">صناديق الوكالة هي بيان التغيرات في الموجودات والمطلوبات لصناديق الوكالة ، التي تم توضيحها في الفصل 12). لا يتم دائمًا طلب البيانات المالية للأموال الفردية من قبل </w:t>
      </w:r>
      <w:r w:rsidRPr="006D488F">
        <w:rPr>
          <w:rFonts w:ascii="inherit" w:eastAsia="Times New Roman" w:hAnsi="inherit" w:cs="Segoe UI"/>
          <w:color w:val="FFFFFF"/>
          <w:sz w:val="23"/>
          <w:szCs w:val="23"/>
        </w:rPr>
        <w:t>GAAP</w:t>
      </w:r>
      <w:r w:rsidRPr="006D488F">
        <w:rPr>
          <w:rFonts w:ascii="inherit" w:eastAsia="Times New Roman" w:hAnsi="inherit" w:cs="Segoe UI"/>
          <w:color w:val="FFFFFF"/>
          <w:sz w:val="23"/>
          <w:szCs w:val="23"/>
          <w:rtl/>
        </w:rPr>
        <w:t xml:space="preserve"> ومع ذلك ، يجب تقديمها عند الحاجة لتوفير :</w:t>
      </w:r>
    </w:p>
    <w:p w:rsidR="006D488F" w:rsidRPr="006D488F" w:rsidRDefault="006D488F" w:rsidP="00C840E1">
      <w:pPr>
        <w:shd w:val="clear" w:color="auto" w:fill="0084FF"/>
        <w:spacing w:line="240" w:lineRule="auto"/>
        <w:rPr>
          <w:rFonts w:ascii="inherit" w:eastAsia="Times New Roman" w:hAnsi="inherit" w:cs="Segoe UI"/>
          <w:color w:val="FFFFFF"/>
          <w:sz w:val="23"/>
          <w:szCs w:val="23"/>
        </w:rPr>
      </w:pPr>
      <w:r w:rsidRPr="006D488F">
        <w:rPr>
          <w:rFonts w:ascii="inherit" w:eastAsia="Times New Roman" w:hAnsi="inherit" w:cs="Segoe UI"/>
          <w:color w:val="FFFFFF"/>
          <w:sz w:val="23"/>
          <w:szCs w:val="23"/>
          <w:rtl/>
        </w:rPr>
        <w:t xml:space="preserve">التقرير التفصيلي السنوي الفردي 609 تفاصيل التصنيف الإضافية التي تتجاوز تلك الواردة في البيانات المالية الأساسية أو في البيانات المالية المجمعة. . بيانات مقارنة للسنة السابقة للأموال الفردية. وتجدر الإشارة إلى أن الحكومة قد تختار تقديم بيانات مالية للأموال الفردية لصندوق معين من نوع الصندوق ، ولكن ليس لجميع الصناديق من هذا النوع. ﺗﻔﺎﺻﯾل إﺿﺎﻓﯾﺔ ﻟﮭذا اﻟﺻﻧدوق ﺑﺳﺑب أھﻣﯾﺗﮫ أو ﺑﺳﺑب ارﺗﻔﺎع ﻣﺳﺗوى اﻟﻔﺎﺋدة ﻟﻣﺟﻣوﻋﺔ ﻓرﻋﯾﺔ ﻣﻌروﻓﺔ ﻣن ﻣﺳﺗﺧدﻣﻲ اﻟﺑﯾﺎن اﻟﻣﺎﻟﯾﺔ. 1. إظهار الالتزام القانوني والتعاقيدي المتعلق بالتمويل ، مثل عندما تكون السندات </w:t>
      </w:r>
      <w:r w:rsidRPr="006D488F">
        <w:rPr>
          <w:rFonts w:ascii="inherit" w:eastAsia="Times New Roman" w:hAnsi="inherit" w:cs="Segoe UI"/>
          <w:color w:val="FFFFFF"/>
          <w:sz w:val="23"/>
          <w:szCs w:val="23"/>
        </w:rPr>
        <w:t xml:space="preserve">inden- </w:t>
      </w:r>
      <w:r w:rsidRPr="006D488F">
        <w:rPr>
          <w:rFonts w:ascii="inherit" w:eastAsia="Times New Roman" w:hAnsi="inherit" w:cs="Segoe UI"/>
          <w:color w:val="FFFFFF"/>
          <w:sz w:val="23"/>
          <w:szCs w:val="23"/>
          <w:rtl/>
        </w:rPr>
        <w:t xml:space="preserve">بيانات أكثر تفصيلاً من تلك التي تظهر في البيانات المالية ، مثل إدارة البيانات الحالية المفصّلة التي تراها ضرورية ، مثل المقبوضات النقدية والحرمان. : </w:t>
      </w:r>
      <w:r w:rsidRPr="006D488F">
        <w:rPr>
          <w:rFonts w:ascii="inherit" w:eastAsia="Times New Roman" w:hAnsi="inherit" w:cs="Segoe UI"/>
          <w:color w:val="FFFFFF"/>
          <w:sz w:val="23"/>
          <w:szCs w:val="23"/>
        </w:rPr>
        <w:t>ures</w:t>
      </w:r>
      <w:r w:rsidRPr="006D488F">
        <w:rPr>
          <w:rFonts w:ascii="inherit" w:eastAsia="Times New Roman" w:hAnsi="inherit" w:cs="Segoe UI"/>
          <w:color w:val="FFFFFF"/>
          <w:sz w:val="23"/>
          <w:szCs w:val="23"/>
          <w:rtl/>
        </w:rPr>
        <w:t xml:space="preserve"> تتطلب بعض البيانات لتكون </w:t>
      </w:r>
      <w:r w:rsidRPr="006D488F">
        <w:rPr>
          <w:rFonts w:ascii="inherit" w:eastAsia="Times New Roman" w:hAnsi="inherit" w:cs="Segoe UI"/>
          <w:color w:val="FFFFFF"/>
          <w:sz w:val="23"/>
          <w:szCs w:val="23"/>
        </w:rPr>
        <w:t>presenled</w:t>
      </w:r>
      <w:r w:rsidRPr="006D488F">
        <w:rPr>
          <w:rFonts w:ascii="inherit" w:eastAsia="Times New Roman" w:hAnsi="inherit" w:cs="Segoe UI"/>
          <w:color w:val="FFFFFF"/>
          <w:sz w:val="23"/>
          <w:szCs w:val="23"/>
          <w:rtl/>
        </w:rPr>
        <w:t xml:space="preserve"> في </w:t>
      </w:r>
      <w:r w:rsidRPr="006D488F">
        <w:rPr>
          <w:rFonts w:ascii="inherit" w:eastAsia="Times New Roman" w:hAnsi="inherit" w:cs="Segoe UI"/>
          <w:color w:val="FFFFFF"/>
          <w:sz w:val="23"/>
          <w:szCs w:val="23"/>
        </w:rPr>
        <w:t xml:space="preserve">CAFR. </w:t>
      </w:r>
      <w:r w:rsidRPr="006D488F">
        <w:rPr>
          <w:rFonts w:ascii="inherit" w:eastAsia="Times New Roman" w:hAnsi="inherit" w:cs="Segoe UI"/>
          <w:color w:val="FFFFFF"/>
          <w:sz w:val="23"/>
          <w:szCs w:val="23"/>
          <w:rtl/>
        </w:rPr>
        <w:t xml:space="preserve">لا تعتبر جداول الربح من جداول الإيرادات والنفقات الخاصة بواحد أو بعض أو جميع الصناديق مطلوبة للعرض العادل بما يتفق مع مبادئ المحاسبة المقبولة عموماً إلا إذا كانت مذكورة في بيان أو حاشية. </w:t>
      </w:r>
    </w:p>
    <w:p w:rsidR="006D488F" w:rsidRPr="006D488F" w:rsidRDefault="006D488F" w:rsidP="00C840E1">
      <w:pPr>
        <w:shd w:val="clear" w:color="auto" w:fill="0077E5"/>
        <w:spacing w:line="240" w:lineRule="auto"/>
        <w:rPr>
          <w:rFonts w:ascii="inherit" w:eastAsia="Times New Roman" w:hAnsi="inherit" w:cs="Segoe UI"/>
          <w:color w:val="FFFFFF"/>
          <w:sz w:val="23"/>
          <w:szCs w:val="23"/>
        </w:rPr>
      </w:pPr>
      <w:r w:rsidRPr="006D488F">
        <w:rPr>
          <w:rFonts w:ascii="inherit" w:eastAsia="Times New Roman" w:hAnsi="inherit" w:cs="Segoe UI"/>
          <w:color w:val="FFFFFF"/>
          <w:sz w:val="23"/>
          <w:szCs w:val="23"/>
          <w:rtl/>
        </w:rPr>
        <w:t xml:space="preserve">610 اﻟﻔﺻل اﻟﺧﺎﻣس 15 اﻟﻣﺎﻟﯾﺔ ﺗﻌﺗﺑر ﺗوﺿﯾﺣﺎت ﻣﻼﺣظﺎت إﺿﺎﻓﯾﺔ ﻋﻟﯽ اﻟﺗﺟﻣﯾﻌﺎت واﻟﺟداول اﻟزﻣﻧﯾﺔ اﻟﻣﺎﻟﯾﺔ ﻟﻟﺻﻧدوق اﻟﻔردي وﻟوﺣدات وﺣدات اﻟوﺣدة اﻟﻣﮐوﻧﺔ. نهج الإبلاغ المزدوج بحيث لا يتم الخلط بينه وبين الملاحظات على البيانات المالية الأساسية ، والتي يشار إليها باسم "ملاحظات على البيانات المالية" في تدوين </w:t>
      </w:r>
      <w:r w:rsidRPr="006D488F">
        <w:rPr>
          <w:rFonts w:ascii="inherit" w:eastAsia="Times New Roman" w:hAnsi="inherit" w:cs="Segoe UI"/>
          <w:color w:val="FFFFFF"/>
          <w:sz w:val="23"/>
          <w:szCs w:val="23"/>
        </w:rPr>
        <w:t>GASB</w:t>
      </w:r>
      <w:r w:rsidRPr="006D488F">
        <w:rPr>
          <w:rFonts w:ascii="inherit" w:eastAsia="Times New Roman" w:hAnsi="inherit" w:cs="Segoe UI"/>
          <w:color w:val="FFFFFF"/>
          <w:sz w:val="23"/>
          <w:szCs w:val="23"/>
          <w:rtl/>
        </w:rPr>
        <w:t xml:space="preserve"> يشير التدوين </w:t>
      </w:r>
      <w:bookmarkStart w:id="0" w:name="_GoBack"/>
      <w:bookmarkEnd w:id="0"/>
      <w:r w:rsidRPr="006D488F">
        <w:rPr>
          <w:rFonts w:ascii="inherit" w:eastAsia="Times New Roman" w:hAnsi="inherit" w:cs="Segoe UI"/>
          <w:color w:val="FFFFFF"/>
          <w:sz w:val="23"/>
          <w:szCs w:val="23"/>
          <w:rtl/>
        </w:rPr>
        <w:t xml:space="preserve">إلى أن دور التوضيحات السردية هو توفير غير مدرجة في البيانات المالية ، والملاحظات على البيانات المالية ، والجداول الزمنية الضرورية لفهم تلك الشروط والجداول ، وإثبات االلتزام باألحكام القانونية والتعاقدية ذات الصلة. (في الحالات القصوى ، قد يكون من الضروري إعداد تقرير خاص منفصل عن الأساس القانوني). يمكن تقديم التفسيرات السردية ، بما في ذلك تفسير طبيعة وغرض الصناديق المختلفة ، على صفحات الفاصل ، مباشرة على البيانات والجداول. أو في قسم منفصل. الإحصائية يحتوي القسم الأخير من </w:t>
      </w:r>
      <w:r w:rsidRPr="006D488F">
        <w:rPr>
          <w:rFonts w:ascii="inherit" w:eastAsia="Times New Roman" w:hAnsi="inherit" w:cs="Segoe UI"/>
          <w:color w:val="FFFFFF"/>
          <w:sz w:val="23"/>
          <w:szCs w:val="23"/>
        </w:rPr>
        <w:t>CAFR</w:t>
      </w:r>
      <w:r w:rsidRPr="006D488F">
        <w:rPr>
          <w:rFonts w:ascii="inherit" w:eastAsia="Times New Roman" w:hAnsi="inherit" w:cs="Segoe UI"/>
          <w:color w:val="FFFFFF"/>
          <w:sz w:val="23"/>
          <w:szCs w:val="23"/>
          <w:rtl/>
        </w:rPr>
        <w:t xml:space="preserve"> على خمس فئات من العروض الإحصائية القسم الكثير من البيانات المستخرجة من البيانات المالية الحالية والسابقة تقرأ وجهة نظر تاريخية وتوجهية للحكومة. المعلومات الديموغرافية والاقتصادية والتشغيلية المطبقة على الحكومة المقدمة للتقارير. كقاعدة عامة ، تعرض معظم الجداول الإحصائية معلومات لمدة 10 سنوات فردية ، بما في ذلك أحدث سنة مالية. ومع ذلك ، قد تقدم بعض الجداول معلومات عن السنة الحالية فقط للسنة التاسعة السابقة (على سبيل المثال ، 2010 و 2001). يفترض </w:t>
      </w:r>
      <w:r w:rsidRPr="006D488F">
        <w:rPr>
          <w:rFonts w:ascii="inherit" w:eastAsia="Times New Roman" w:hAnsi="inherit" w:cs="Segoe UI"/>
          <w:color w:val="FFFFFF"/>
          <w:sz w:val="23"/>
          <w:szCs w:val="23"/>
        </w:rPr>
        <w:t>GASB</w:t>
      </w:r>
      <w:r w:rsidRPr="006D488F">
        <w:rPr>
          <w:rFonts w:ascii="inherit" w:eastAsia="Times New Roman" w:hAnsi="inherit" w:cs="Segoe UI"/>
          <w:color w:val="FFFFFF"/>
          <w:sz w:val="23"/>
          <w:szCs w:val="23"/>
          <w:rtl/>
        </w:rPr>
        <w:t xml:space="preserve"> أن كل من هذه الفئات الخمس المختلفة من العروض الإحصائية سيتم تضمينها في القسم الإحصائي للمنشأة ما لم تكن بشكل واضح وقابل للتطبيق. يقدم الشكل التوضيحي 15-1 نظرة عامة شاملة لأنواع المعلومات المطلوبة في كل فئة. على الرغم من أن الفضاء يحول دون تغطية شاملة بتفصيل أكبر من </w:t>
      </w:r>
      <w:r w:rsidRPr="006D488F">
        <w:rPr>
          <w:rFonts w:ascii="inherit" w:eastAsia="Times New Roman" w:hAnsi="inherit" w:cs="Segoe UI"/>
          <w:color w:val="FFFFFF"/>
          <w:sz w:val="23"/>
          <w:szCs w:val="23"/>
        </w:rPr>
        <w:t xml:space="preserve">Illustration 15-1. </w:t>
      </w:r>
      <w:r w:rsidRPr="006D488F">
        <w:rPr>
          <w:rFonts w:ascii="inherit" w:eastAsia="Times New Roman" w:hAnsi="inherit" w:cs="Segoe UI"/>
          <w:color w:val="FFFFFF"/>
          <w:sz w:val="23"/>
          <w:szCs w:val="23"/>
          <w:rtl/>
        </w:rPr>
        <w:t xml:space="preserve">أيضا ، يتم تضمين أمثلة على أنواع واسعة من جداول الإحصاء ، أي تلك التي تقدم (1) بيانات 10 سنوات و (2) بيانات سنة واحدة في الرسوم التوضيحية </w:t>
      </w:r>
      <w:r w:rsidRPr="006D488F">
        <w:rPr>
          <w:rFonts w:ascii="inherit" w:eastAsia="Times New Roman" w:hAnsi="inherit" w:cs="Segoe UI"/>
          <w:color w:val="FFFFFF"/>
          <w:sz w:val="23"/>
          <w:szCs w:val="23"/>
        </w:rPr>
        <w:t>i5-4</w:t>
      </w:r>
      <w:r w:rsidRPr="006D488F">
        <w:rPr>
          <w:rFonts w:ascii="inherit" w:eastAsia="Times New Roman" w:hAnsi="inherit" w:cs="Segoe UI"/>
          <w:color w:val="FFFFFF"/>
          <w:sz w:val="23"/>
          <w:szCs w:val="23"/>
          <w:rtl/>
        </w:rPr>
        <w:t xml:space="preserve"> و 15-3 ، على التوالي اتجاهات المعلومات المالية تنص </w:t>
      </w:r>
      <w:r w:rsidRPr="006D488F">
        <w:rPr>
          <w:rFonts w:ascii="inherit" w:eastAsia="Times New Roman" w:hAnsi="inherit" w:cs="Segoe UI"/>
          <w:color w:val="FFFFFF"/>
          <w:sz w:val="23"/>
          <w:szCs w:val="23"/>
        </w:rPr>
        <w:t>GASB</w:t>
      </w:r>
      <w:r w:rsidRPr="006D488F">
        <w:rPr>
          <w:rFonts w:ascii="inherit" w:eastAsia="Times New Roman" w:hAnsi="inherit" w:cs="Segoe UI"/>
          <w:color w:val="FFFFFF"/>
          <w:sz w:val="23"/>
          <w:szCs w:val="23"/>
          <w:rtl/>
        </w:rPr>
        <w:t xml:space="preserve"> على أن "معلومات الاتجاهات المالية تهدف إلى مساعدة المستخدمين على فهم وتقييم كيف تغير وضع الحكومة المالي بمرور الوقت". إلى تلك النهاية. يجب الإبلاغ عن أربعة أنواع مختلفة من المعلومات عادة في جداول الاتجاهات لعشر سنوات ، على النحو التالي: معلومات حول مكونات صافي الإنفاق للأنشطة الحكومية وأنشطة الأنشطة التجارية والحكومة الأولية الإجمالية: * صافي الاستثمار في الأصول الرأسمالية * الموقع المقيد </w:t>
      </w:r>
      <w:r w:rsidRPr="006D488F">
        <w:rPr>
          <w:rFonts w:ascii="inherit" w:eastAsia="Times New Roman" w:hAnsi="inherit" w:cs="Segoe UI"/>
          <w:color w:val="FFFFFF"/>
          <w:sz w:val="23"/>
          <w:szCs w:val="23"/>
        </w:rPr>
        <w:t>position</w:t>
      </w:r>
      <w:r w:rsidRPr="006D488F">
        <w:rPr>
          <w:rFonts w:ascii="inherit" w:eastAsia="Times New Roman" w:hAnsi="inherit" w:cs="Segoe UI"/>
          <w:color w:val="FFFFFF"/>
          <w:sz w:val="23"/>
          <w:szCs w:val="23"/>
          <w:rtl/>
        </w:rPr>
        <w:t xml:space="preserve"> معلومات حول التغييرات في موقف </w:t>
      </w:r>
      <w:r w:rsidRPr="006D488F">
        <w:rPr>
          <w:rFonts w:ascii="inherit" w:eastAsia="Times New Roman" w:hAnsi="inherit" w:cs="Segoe UI"/>
          <w:color w:val="FFFFFF"/>
          <w:sz w:val="23"/>
          <w:szCs w:val="23"/>
        </w:rPr>
        <w:t>AET lor goveramental</w:t>
      </w:r>
      <w:r w:rsidRPr="006D488F">
        <w:rPr>
          <w:rFonts w:ascii="inherit" w:eastAsia="Times New Roman" w:hAnsi="inherit" w:cs="Segoe UI"/>
          <w:color w:val="FFFFFF"/>
          <w:sz w:val="23"/>
          <w:szCs w:val="23"/>
          <w:rtl/>
        </w:rPr>
        <w:t xml:space="preserve"> ونشاط العمل النوع:. النفقات حسب الوظيفة أو البرنامج أو أي نشاط آخر قابل للتعريف. إيرادات البرنامج حسب الفئة (</w:t>
      </w:r>
      <w:r w:rsidRPr="006D488F">
        <w:rPr>
          <w:rFonts w:ascii="inherit" w:eastAsia="Times New Roman" w:hAnsi="inherit" w:cs="Segoe UI"/>
          <w:color w:val="FFFFFF"/>
          <w:sz w:val="23"/>
          <w:szCs w:val="23"/>
        </w:rPr>
        <w:t>Le</w:t>
      </w:r>
      <w:r w:rsidRPr="006D488F">
        <w:rPr>
          <w:rFonts w:ascii="inherit" w:eastAsia="Times New Roman" w:hAnsi="inherit" w:cs="Segoe UI"/>
          <w:color w:val="FFFFFF"/>
          <w:sz w:val="23"/>
          <w:szCs w:val="23"/>
          <w:rtl/>
        </w:rPr>
        <w:t xml:space="preserve"> ، ورسوم الخدمات ، والمنح التشغيلية وأصول البونري ، ومنح رأس المال والمساهمات) إجمالي صافي (النفقات) الإيرادات الإيرادات العامة والتغيرات الأخرى في صافي المركز حسب النوع '. التغير الكلي في صافي المركزين كلا النوعين من المعلومات عن أرصدة الصناديق الجندرية ("جي إف كي") (</w:t>
      </w:r>
      <w:r w:rsidRPr="006D488F">
        <w:rPr>
          <w:rFonts w:ascii="inherit" w:eastAsia="Times New Roman" w:hAnsi="inherit" w:cs="Segoe UI"/>
          <w:color w:val="FFFFFF"/>
          <w:sz w:val="23"/>
          <w:szCs w:val="23"/>
        </w:rPr>
        <w:t>Gundcramental gundcramental gandcramental gandcramental gandcramental gandcramental gandcramental gandcramental guides) (</w:t>
      </w:r>
      <w:r w:rsidRPr="006D488F">
        <w:rPr>
          <w:rFonts w:ascii="inherit" w:eastAsia="Times New Roman" w:hAnsi="inherit" w:cs="Segoe UI"/>
          <w:color w:val="FFFFFF"/>
          <w:sz w:val="23"/>
          <w:szCs w:val="23"/>
          <w:rtl/>
        </w:rPr>
        <w:t>إن وجدت) التغييرات في أرصدة الصناديق</w:t>
      </w:r>
    </w:p>
    <w:p w:rsidR="006D488F" w:rsidRDefault="006D488F" w:rsidP="006D488F">
      <w:pPr>
        <w:rPr>
          <w:rtl/>
        </w:rPr>
      </w:pPr>
      <w:r>
        <w:rPr>
          <w:rtl/>
        </w:rPr>
        <w:br w:type="page"/>
      </w:r>
    </w:p>
    <w:p w:rsidR="006D488F" w:rsidRDefault="006D488F">
      <w:pPr>
        <w:rPr>
          <w:rFonts w:hint="cs"/>
          <w:rtl/>
          <w:lang w:bidi="ar-IQ"/>
        </w:rPr>
      </w:pPr>
    </w:p>
    <w:p w:rsidR="006D488F" w:rsidRDefault="006D488F">
      <w:pPr>
        <w:bidi w:val="0"/>
      </w:pPr>
      <w:r>
        <w:rPr>
          <w:rtl/>
        </w:rPr>
        <w:br w:type="page"/>
      </w:r>
    </w:p>
    <w:p w:rsidR="006D488F" w:rsidRDefault="006D488F">
      <w:pPr>
        <w:rPr>
          <w:rFonts w:hint="cs"/>
          <w:rtl/>
          <w:lang w:bidi="ar-IQ"/>
        </w:rPr>
      </w:pPr>
    </w:p>
    <w:p w:rsidR="006D488F" w:rsidRDefault="006D488F">
      <w:pPr>
        <w:bidi w:val="0"/>
      </w:pPr>
      <w:r>
        <w:rPr>
          <w:rtl/>
        </w:rPr>
        <w:br w:type="page"/>
      </w:r>
    </w:p>
    <w:p w:rsidR="006D488F" w:rsidRDefault="006D488F">
      <w:pPr>
        <w:rPr>
          <w:rFonts w:hint="cs"/>
          <w:rtl/>
          <w:lang w:bidi="ar-IQ"/>
        </w:rPr>
      </w:pPr>
    </w:p>
    <w:p w:rsidR="006D488F" w:rsidRDefault="006D488F">
      <w:pPr>
        <w:bidi w:val="0"/>
      </w:pPr>
      <w:r>
        <w:rPr>
          <w:rtl/>
        </w:rPr>
        <w:br w:type="page"/>
      </w:r>
    </w:p>
    <w:p w:rsidR="006D488F" w:rsidRDefault="006D488F">
      <w:pPr>
        <w:rPr>
          <w:rFonts w:hint="cs"/>
          <w:rtl/>
          <w:lang w:bidi="ar-IQ"/>
        </w:rPr>
      </w:pPr>
    </w:p>
    <w:p w:rsidR="006D488F" w:rsidRDefault="006D488F">
      <w:pPr>
        <w:bidi w:val="0"/>
      </w:pPr>
      <w:r>
        <w:rPr>
          <w:rtl/>
        </w:rPr>
        <w:br w:type="page"/>
      </w:r>
    </w:p>
    <w:p w:rsidR="006D488F" w:rsidRDefault="006D488F">
      <w:pPr>
        <w:rPr>
          <w:rFonts w:hint="cs"/>
          <w:rtl/>
          <w:lang w:bidi="ar-IQ"/>
        </w:rPr>
      </w:pPr>
    </w:p>
    <w:p w:rsidR="006D488F" w:rsidRDefault="006D488F">
      <w:pPr>
        <w:bidi w:val="0"/>
      </w:pPr>
      <w:r>
        <w:rPr>
          <w:rtl/>
        </w:rPr>
        <w:br w:type="page"/>
      </w:r>
    </w:p>
    <w:p w:rsidR="006D488F" w:rsidRDefault="006D488F">
      <w:pPr>
        <w:rPr>
          <w:rFonts w:hint="cs"/>
          <w:rtl/>
          <w:lang w:bidi="ar-IQ"/>
        </w:rPr>
      </w:pPr>
    </w:p>
    <w:p w:rsidR="006D488F" w:rsidRDefault="006D488F">
      <w:pPr>
        <w:bidi w:val="0"/>
      </w:pPr>
      <w:r>
        <w:rPr>
          <w:rtl/>
        </w:rPr>
        <w:br w:type="page"/>
      </w:r>
    </w:p>
    <w:p w:rsidR="006D488F" w:rsidRDefault="006D488F">
      <w:pPr>
        <w:rPr>
          <w:rFonts w:hint="cs"/>
          <w:rtl/>
          <w:lang w:bidi="ar-IQ"/>
        </w:rPr>
      </w:pPr>
    </w:p>
    <w:p w:rsidR="006D488F" w:rsidRDefault="006D488F">
      <w:pPr>
        <w:bidi w:val="0"/>
      </w:pPr>
      <w:r>
        <w:rPr>
          <w:rtl/>
        </w:rPr>
        <w:br w:type="page"/>
      </w:r>
    </w:p>
    <w:p w:rsidR="006D488F" w:rsidRDefault="006D488F">
      <w:pPr>
        <w:rPr>
          <w:rFonts w:hint="cs"/>
          <w:rtl/>
          <w:lang w:bidi="ar-IQ"/>
        </w:rPr>
      </w:pPr>
    </w:p>
    <w:p w:rsidR="006D488F" w:rsidRDefault="006D488F">
      <w:pPr>
        <w:bidi w:val="0"/>
        <w:rPr>
          <w:rtl/>
        </w:rPr>
      </w:pPr>
      <w:r>
        <w:rPr>
          <w:rtl/>
        </w:rPr>
        <w:br w:type="page"/>
      </w:r>
    </w:p>
    <w:p w:rsidR="006D488F" w:rsidRDefault="006D488F">
      <w:pPr>
        <w:rPr>
          <w:rtl/>
        </w:rPr>
      </w:pPr>
    </w:p>
    <w:p w:rsidR="006D488F" w:rsidRDefault="006D488F">
      <w:pPr>
        <w:bidi w:val="0"/>
        <w:rPr>
          <w:rtl/>
        </w:rPr>
      </w:pPr>
      <w:r>
        <w:rPr>
          <w:rtl/>
        </w:rPr>
        <w:br w:type="page"/>
      </w:r>
    </w:p>
    <w:p w:rsidR="006D488F" w:rsidRDefault="006D488F">
      <w:pPr>
        <w:rPr>
          <w:rtl/>
        </w:rPr>
      </w:pPr>
    </w:p>
    <w:p w:rsidR="006D488F" w:rsidRDefault="006D488F">
      <w:pPr>
        <w:bidi w:val="0"/>
        <w:rPr>
          <w:rtl/>
        </w:rPr>
      </w:pPr>
      <w:r>
        <w:rPr>
          <w:rtl/>
        </w:rPr>
        <w:br w:type="page"/>
      </w:r>
    </w:p>
    <w:p w:rsidR="006D488F" w:rsidRDefault="006D488F">
      <w:pPr>
        <w:rPr>
          <w:rtl/>
        </w:rPr>
      </w:pPr>
    </w:p>
    <w:p w:rsidR="006D488F" w:rsidRDefault="006D488F">
      <w:pPr>
        <w:bidi w:val="0"/>
        <w:rPr>
          <w:rtl/>
        </w:rPr>
      </w:pPr>
      <w:r>
        <w:rPr>
          <w:rtl/>
        </w:rPr>
        <w:br w:type="page"/>
      </w:r>
    </w:p>
    <w:p w:rsidR="006D488F" w:rsidRDefault="006D488F">
      <w:pPr>
        <w:rPr>
          <w:rtl/>
        </w:rPr>
      </w:pPr>
    </w:p>
    <w:p w:rsidR="006D488F" w:rsidRDefault="006D488F">
      <w:pPr>
        <w:bidi w:val="0"/>
        <w:rPr>
          <w:rtl/>
        </w:rPr>
      </w:pPr>
      <w:r>
        <w:rPr>
          <w:rtl/>
        </w:rPr>
        <w:br w:type="page"/>
      </w:r>
    </w:p>
    <w:p w:rsidR="006D488F" w:rsidRDefault="006D488F">
      <w:pPr>
        <w:rPr>
          <w:rtl/>
        </w:rPr>
      </w:pPr>
    </w:p>
    <w:p w:rsidR="006D488F" w:rsidRDefault="006D488F">
      <w:pPr>
        <w:bidi w:val="0"/>
        <w:rPr>
          <w:rtl/>
        </w:rPr>
      </w:pPr>
      <w:r>
        <w:rPr>
          <w:rtl/>
        </w:rPr>
        <w:br w:type="page"/>
      </w:r>
    </w:p>
    <w:p w:rsidR="006D488F" w:rsidRDefault="006D488F">
      <w:pPr>
        <w:rPr>
          <w:rtl/>
        </w:rPr>
      </w:pPr>
    </w:p>
    <w:p w:rsidR="006D488F" w:rsidRDefault="006D488F">
      <w:pPr>
        <w:bidi w:val="0"/>
        <w:rPr>
          <w:rtl/>
        </w:rPr>
      </w:pPr>
      <w:r>
        <w:rPr>
          <w:rtl/>
        </w:rPr>
        <w:br w:type="page"/>
      </w:r>
    </w:p>
    <w:p w:rsidR="006D488F" w:rsidRDefault="006D488F">
      <w:pPr>
        <w:rPr>
          <w:rtl/>
        </w:rPr>
      </w:pPr>
    </w:p>
    <w:p w:rsidR="006D488F" w:rsidRDefault="006D488F">
      <w:pPr>
        <w:bidi w:val="0"/>
        <w:rPr>
          <w:rtl/>
        </w:rPr>
      </w:pPr>
      <w:r>
        <w:rPr>
          <w:rtl/>
        </w:rPr>
        <w:br w:type="page"/>
      </w:r>
    </w:p>
    <w:p w:rsidR="006D488F" w:rsidRDefault="006D488F">
      <w:pPr>
        <w:rPr>
          <w:rtl/>
        </w:rPr>
      </w:pPr>
    </w:p>
    <w:p w:rsidR="006D488F" w:rsidRDefault="006D488F">
      <w:pPr>
        <w:bidi w:val="0"/>
        <w:rPr>
          <w:rtl/>
        </w:rPr>
      </w:pPr>
      <w:r>
        <w:rPr>
          <w:rtl/>
        </w:rPr>
        <w:br w:type="page"/>
      </w:r>
    </w:p>
    <w:p w:rsidR="006D488F" w:rsidRDefault="006D488F">
      <w:pPr>
        <w:rPr>
          <w:rtl/>
        </w:rPr>
      </w:pPr>
    </w:p>
    <w:p w:rsidR="006D488F" w:rsidRDefault="006D488F">
      <w:pPr>
        <w:bidi w:val="0"/>
        <w:rPr>
          <w:rtl/>
        </w:rPr>
      </w:pPr>
      <w:r>
        <w:rPr>
          <w:rtl/>
        </w:rPr>
        <w:br w:type="page"/>
      </w:r>
    </w:p>
    <w:p w:rsidR="006D488F" w:rsidRDefault="006D488F">
      <w:pPr>
        <w:rPr>
          <w:rtl/>
        </w:rPr>
      </w:pPr>
    </w:p>
    <w:p w:rsidR="006D488F" w:rsidRDefault="006D488F">
      <w:pPr>
        <w:bidi w:val="0"/>
        <w:rPr>
          <w:rtl/>
        </w:rPr>
      </w:pPr>
      <w:r>
        <w:rPr>
          <w:rtl/>
        </w:rPr>
        <w:br w:type="page"/>
      </w:r>
    </w:p>
    <w:p w:rsidR="006D488F" w:rsidRDefault="006D488F">
      <w:pPr>
        <w:rPr>
          <w:rtl/>
        </w:rPr>
      </w:pPr>
    </w:p>
    <w:p w:rsidR="006D488F" w:rsidRDefault="006D488F">
      <w:pPr>
        <w:bidi w:val="0"/>
        <w:rPr>
          <w:rtl/>
        </w:rPr>
      </w:pPr>
      <w:r>
        <w:rPr>
          <w:rtl/>
        </w:rPr>
        <w:br w:type="page"/>
      </w:r>
    </w:p>
    <w:p w:rsidR="006D488F" w:rsidRDefault="006D488F">
      <w:pPr>
        <w:rPr>
          <w:rtl/>
        </w:rPr>
      </w:pPr>
    </w:p>
    <w:p w:rsidR="006D488F" w:rsidRDefault="006D488F">
      <w:pPr>
        <w:bidi w:val="0"/>
        <w:rPr>
          <w:rtl/>
        </w:rPr>
      </w:pPr>
      <w:r>
        <w:rPr>
          <w:rtl/>
        </w:rPr>
        <w:br w:type="page"/>
      </w:r>
    </w:p>
    <w:p w:rsidR="006D488F" w:rsidRDefault="006D488F">
      <w:pPr>
        <w:rPr>
          <w:rtl/>
        </w:rPr>
      </w:pPr>
    </w:p>
    <w:p w:rsidR="006D488F" w:rsidRDefault="006D488F">
      <w:pPr>
        <w:bidi w:val="0"/>
        <w:rPr>
          <w:rtl/>
        </w:rPr>
      </w:pPr>
      <w:r>
        <w:rPr>
          <w:rtl/>
        </w:rPr>
        <w:br w:type="page"/>
      </w:r>
    </w:p>
    <w:p w:rsidR="005E741D" w:rsidRPr="006D488F" w:rsidRDefault="005E741D"/>
    <w:sectPr w:rsidR="005E741D" w:rsidRPr="006D488F" w:rsidSect="008853A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93D" w:rsidRDefault="000B393D" w:rsidP="001406E2">
      <w:pPr>
        <w:spacing w:after="0" w:line="240" w:lineRule="auto"/>
      </w:pPr>
      <w:r>
        <w:separator/>
      </w:r>
    </w:p>
  </w:endnote>
  <w:endnote w:type="continuationSeparator" w:id="0">
    <w:p w:rsidR="000B393D" w:rsidRDefault="000B393D" w:rsidP="0014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E2" w:rsidRDefault="001406E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8534798"/>
      <w:docPartObj>
        <w:docPartGallery w:val="Page Numbers (Bottom of Page)"/>
        <w:docPartUnique/>
      </w:docPartObj>
    </w:sdtPr>
    <w:sdtEndPr/>
    <w:sdtContent>
      <w:p w:rsidR="001406E2" w:rsidRDefault="001406E2">
        <w:pPr>
          <w:pStyle w:val="a4"/>
          <w:jc w:val="center"/>
        </w:pPr>
        <w:r>
          <w:fldChar w:fldCharType="begin"/>
        </w:r>
        <w:r>
          <w:instrText>PAGE   \* MERGEFORMAT</w:instrText>
        </w:r>
        <w:r>
          <w:fldChar w:fldCharType="separate"/>
        </w:r>
        <w:r w:rsidR="00C840E1" w:rsidRPr="00C840E1">
          <w:rPr>
            <w:noProof/>
            <w:rtl/>
            <w:lang w:val="ar-SA"/>
          </w:rPr>
          <w:t>16</w:t>
        </w:r>
        <w:r>
          <w:fldChar w:fldCharType="end"/>
        </w:r>
      </w:p>
    </w:sdtContent>
  </w:sdt>
  <w:p w:rsidR="001406E2" w:rsidRDefault="001406E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E2" w:rsidRDefault="001406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93D" w:rsidRDefault="000B393D" w:rsidP="001406E2">
      <w:pPr>
        <w:spacing w:after="0" w:line="240" w:lineRule="auto"/>
      </w:pPr>
      <w:r>
        <w:separator/>
      </w:r>
    </w:p>
  </w:footnote>
  <w:footnote w:type="continuationSeparator" w:id="0">
    <w:p w:rsidR="000B393D" w:rsidRDefault="000B393D" w:rsidP="00140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E2" w:rsidRDefault="001406E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E2" w:rsidRDefault="001406E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E2" w:rsidRDefault="001406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1CC"/>
    <w:rsid w:val="00077961"/>
    <w:rsid w:val="000B393D"/>
    <w:rsid w:val="0010526A"/>
    <w:rsid w:val="00127333"/>
    <w:rsid w:val="00130A95"/>
    <w:rsid w:val="001406E2"/>
    <w:rsid w:val="001A1296"/>
    <w:rsid w:val="00251DFF"/>
    <w:rsid w:val="00264629"/>
    <w:rsid w:val="002D683D"/>
    <w:rsid w:val="00316407"/>
    <w:rsid w:val="00366F69"/>
    <w:rsid w:val="004E25C9"/>
    <w:rsid w:val="005E741D"/>
    <w:rsid w:val="0063584F"/>
    <w:rsid w:val="006D488F"/>
    <w:rsid w:val="0075779F"/>
    <w:rsid w:val="008853AD"/>
    <w:rsid w:val="00A15928"/>
    <w:rsid w:val="00BB7208"/>
    <w:rsid w:val="00C14462"/>
    <w:rsid w:val="00C840E1"/>
    <w:rsid w:val="00D13F6A"/>
    <w:rsid w:val="00D971CC"/>
    <w:rsid w:val="00F92A66"/>
    <w:rsid w:val="00FE36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6E2"/>
    <w:pPr>
      <w:tabs>
        <w:tab w:val="center" w:pos="4153"/>
        <w:tab w:val="right" w:pos="8306"/>
      </w:tabs>
      <w:spacing w:after="0" w:line="240" w:lineRule="auto"/>
    </w:pPr>
  </w:style>
  <w:style w:type="character" w:customStyle="1" w:styleId="Char">
    <w:name w:val="رأس الصفحة Char"/>
    <w:basedOn w:val="a0"/>
    <w:link w:val="a3"/>
    <w:uiPriority w:val="99"/>
    <w:rsid w:val="001406E2"/>
  </w:style>
  <w:style w:type="paragraph" w:styleId="a4">
    <w:name w:val="footer"/>
    <w:basedOn w:val="a"/>
    <w:link w:val="Char0"/>
    <w:uiPriority w:val="99"/>
    <w:unhideWhenUsed/>
    <w:rsid w:val="001406E2"/>
    <w:pPr>
      <w:tabs>
        <w:tab w:val="center" w:pos="4153"/>
        <w:tab w:val="right" w:pos="8306"/>
      </w:tabs>
      <w:spacing w:after="0" w:line="240" w:lineRule="auto"/>
    </w:pPr>
  </w:style>
  <w:style w:type="character" w:customStyle="1" w:styleId="Char0">
    <w:name w:val="تذييل الصفحة Char"/>
    <w:basedOn w:val="a0"/>
    <w:link w:val="a4"/>
    <w:uiPriority w:val="99"/>
    <w:rsid w:val="00140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6E2"/>
    <w:pPr>
      <w:tabs>
        <w:tab w:val="center" w:pos="4153"/>
        <w:tab w:val="right" w:pos="8306"/>
      </w:tabs>
      <w:spacing w:after="0" w:line="240" w:lineRule="auto"/>
    </w:pPr>
  </w:style>
  <w:style w:type="character" w:customStyle="1" w:styleId="Char">
    <w:name w:val="رأس الصفحة Char"/>
    <w:basedOn w:val="a0"/>
    <w:link w:val="a3"/>
    <w:uiPriority w:val="99"/>
    <w:rsid w:val="001406E2"/>
  </w:style>
  <w:style w:type="paragraph" w:styleId="a4">
    <w:name w:val="footer"/>
    <w:basedOn w:val="a"/>
    <w:link w:val="Char0"/>
    <w:uiPriority w:val="99"/>
    <w:unhideWhenUsed/>
    <w:rsid w:val="001406E2"/>
    <w:pPr>
      <w:tabs>
        <w:tab w:val="center" w:pos="4153"/>
        <w:tab w:val="right" w:pos="8306"/>
      </w:tabs>
      <w:spacing w:after="0" w:line="240" w:lineRule="auto"/>
    </w:pPr>
  </w:style>
  <w:style w:type="character" w:customStyle="1" w:styleId="Char0">
    <w:name w:val="تذييل الصفحة Char"/>
    <w:basedOn w:val="a0"/>
    <w:link w:val="a4"/>
    <w:uiPriority w:val="99"/>
    <w:rsid w:val="00140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93644">
      <w:bodyDiv w:val="1"/>
      <w:marLeft w:val="0"/>
      <w:marRight w:val="0"/>
      <w:marTop w:val="0"/>
      <w:marBottom w:val="0"/>
      <w:divBdr>
        <w:top w:val="none" w:sz="0" w:space="0" w:color="auto"/>
        <w:left w:val="none" w:sz="0" w:space="0" w:color="auto"/>
        <w:bottom w:val="none" w:sz="0" w:space="0" w:color="auto"/>
        <w:right w:val="none" w:sz="0" w:space="0" w:color="auto"/>
      </w:divBdr>
      <w:divsChild>
        <w:div w:id="1539126170">
          <w:marLeft w:val="0"/>
          <w:marRight w:val="0"/>
          <w:marTop w:val="0"/>
          <w:marBottom w:val="0"/>
          <w:divBdr>
            <w:top w:val="none" w:sz="0" w:space="0" w:color="auto"/>
            <w:left w:val="none" w:sz="0" w:space="0" w:color="auto"/>
            <w:bottom w:val="none" w:sz="0" w:space="0" w:color="auto"/>
            <w:right w:val="none" w:sz="0" w:space="0" w:color="auto"/>
          </w:divBdr>
          <w:divsChild>
            <w:div w:id="7371977">
              <w:marLeft w:val="0"/>
              <w:marRight w:val="0"/>
              <w:marTop w:val="0"/>
              <w:marBottom w:val="225"/>
              <w:divBdr>
                <w:top w:val="none" w:sz="0" w:space="0" w:color="auto"/>
                <w:left w:val="none" w:sz="0" w:space="0" w:color="auto"/>
                <w:bottom w:val="none" w:sz="0" w:space="0" w:color="auto"/>
                <w:right w:val="none" w:sz="0" w:space="0" w:color="auto"/>
              </w:divBdr>
              <w:divsChild>
                <w:div w:id="1349333199">
                  <w:marLeft w:val="0"/>
                  <w:marRight w:val="540"/>
                  <w:marTop w:val="0"/>
                  <w:marBottom w:val="0"/>
                  <w:divBdr>
                    <w:top w:val="none" w:sz="0" w:space="0" w:color="auto"/>
                    <w:left w:val="none" w:sz="0" w:space="0" w:color="auto"/>
                    <w:bottom w:val="none" w:sz="0" w:space="0" w:color="auto"/>
                    <w:right w:val="none" w:sz="0" w:space="0" w:color="auto"/>
                  </w:divBdr>
                  <w:divsChild>
                    <w:div w:id="1233082857">
                      <w:marLeft w:val="0"/>
                      <w:marRight w:val="0"/>
                      <w:marTop w:val="15"/>
                      <w:marBottom w:val="15"/>
                      <w:divBdr>
                        <w:top w:val="none" w:sz="0" w:space="0" w:color="auto"/>
                        <w:left w:val="none" w:sz="0" w:space="0" w:color="auto"/>
                        <w:bottom w:val="none" w:sz="0" w:space="0" w:color="auto"/>
                        <w:right w:val="none" w:sz="0" w:space="0" w:color="auto"/>
                      </w:divBdr>
                      <w:divsChild>
                        <w:div w:id="7108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319027">
          <w:marLeft w:val="0"/>
          <w:marRight w:val="0"/>
          <w:marTop w:val="0"/>
          <w:marBottom w:val="0"/>
          <w:divBdr>
            <w:top w:val="none" w:sz="0" w:space="0" w:color="auto"/>
            <w:left w:val="none" w:sz="0" w:space="0" w:color="auto"/>
            <w:bottom w:val="none" w:sz="0" w:space="0" w:color="auto"/>
            <w:right w:val="none" w:sz="0" w:space="0" w:color="auto"/>
          </w:divBdr>
          <w:divsChild>
            <w:div w:id="1508254823">
              <w:marLeft w:val="0"/>
              <w:marRight w:val="0"/>
              <w:marTop w:val="0"/>
              <w:marBottom w:val="225"/>
              <w:divBdr>
                <w:top w:val="none" w:sz="0" w:space="0" w:color="auto"/>
                <w:left w:val="none" w:sz="0" w:space="0" w:color="auto"/>
                <w:bottom w:val="none" w:sz="0" w:space="0" w:color="auto"/>
                <w:right w:val="none" w:sz="0" w:space="0" w:color="auto"/>
              </w:divBdr>
              <w:divsChild>
                <w:div w:id="1749571325">
                  <w:marLeft w:val="0"/>
                  <w:marRight w:val="540"/>
                  <w:marTop w:val="0"/>
                  <w:marBottom w:val="0"/>
                  <w:divBdr>
                    <w:top w:val="none" w:sz="0" w:space="0" w:color="auto"/>
                    <w:left w:val="none" w:sz="0" w:space="0" w:color="auto"/>
                    <w:bottom w:val="none" w:sz="0" w:space="0" w:color="auto"/>
                    <w:right w:val="none" w:sz="0" w:space="0" w:color="auto"/>
                  </w:divBdr>
                  <w:divsChild>
                    <w:div w:id="1474176852">
                      <w:marLeft w:val="0"/>
                      <w:marRight w:val="0"/>
                      <w:marTop w:val="15"/>
                      <w:marBottom w:val="15"/>
                      <w:divBdr>
                        <w:top w:val="none" w:sz="0" w:space="0" w:color="auto"/>
                        <w:left w:val="none" w:sz="0" w:space="0" w:color="auto"/>
                        <w:bottom w:val="none" w:sz="0" w:space="0" w:color="auto"/>
                        <w:right w:val="none" w:sz="0" w:space="0" w:color="auto"/>
                      </w:divBdr>
                      <w:divsChild>
                        <w:div w:id="9655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515681">
          <w:marLeft w:val="0"/>
          <w:marRight w:val="0"/>
          <w:marTop w:val="0"/>
          <w:marBottom w:val="0"/>
          <w:divBdr>
            <w:top w:val="none" w:sz="0" w:space="0" w:color="auto"/>
            <w:left w:val="none" w:sz="0" w:space="0" w:color="auto"/>
            <w:bottom w:val="none" w:sz="0" w:space="0" w:color="auto"/>
            <w:right w:val="none" w:sz="0" w:space="0" w:color="auto"/>
          </w:divBdr>
          <w:divsChild>
            <w:div w:id="972559422">
              <w:marLeft w:val="0"/>
              <w:marRight w:val="0"/>
              <w:marTop w:val="0"/>
              <w:marBottom w:val="225"/>
              <w:divBdr>
                <w:top w:val="none" w:sz="0" w:space="0" w:color="auto"/>
                <w:left w:val="none" w:sz="0" w:space="0" w:color="auto"/>
                <w:bottom w:val="none" w:sz="0" w:space="0" w:color="auto"/>
                <w:right w:val="none" w:sz="0" w:space="0" w:color="auto"/>
              </w:divBdr>
              <w:divsChild>
                <w:div w:id="1624264077">
                  <w:marLeft w:val="0"/>
                  <w:marRight w:val="540"/>
                  <w:marTop w:val="0"/>
                  <w:marBottom w:val="0"/>
                  <w:divBdr>
                    <w:top w:val="none" w:sz="0" w:space="0" w:color="auto"/>
                    <w:left w:val="none" w:sz="0" w:space="0" w:color="auto"/>
                    <w:bottom w:val="none" w:sz="0" w:space="0" w:color="auto"/>
                    <w:right w:val="none" w:sz="0" w:space="0" w:color="auto"/>
                  </w:divBdr>
                  <w:divsChild>
                    <w:div w:id="395668193">
                      <w:marLeft w:val="0"/>
                      <w:marRight w:val="0"/>
                      <w:marTop w:val="15"/>
                      <w:marBottom w:val="15"/>
                      <w:divBdr>
                        <w:top w:val="none" w:sz="0" w:space="0" w:color="auto"/>
                        <w:left w:val="none" w:sz="0" w:space="0" w:color="auto"/>
                        <w:bottom w:val="none" w:sz="0" w:space="0" w:color="auto"/>
                        <w:right w:val="none" w:sz="0" w:space="0" w:color="auto"/>
                      </w:divBdr>
                      <w:divsChild>
                        <w:div w:id="9599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145205">
          <w:marLeft w:val="0"/>
          <w:marRight w:val="0"/>
          <w:marTop w:val="0"/>
          <w:marBottom w:val="0"/>
          <w:divBdr>
            <w:top w:val="none" w:sz="0" w:space="0" w:color="auto"/>
            <w:left w:val="none" w:sz="0" w:space="0" w:color="auto"/>
            <w:bottom w:val="none" w:sz="0" w:space="0" w:color="auto"/>
            <w:right w:val="none" w:sz="0" w:space="0" w:color="auto"/>
          </w:divBdr>
          <w:divsChild>
            <w:div w:id="273176575">
              <w:marLeft w:val="0"/>
              <w:marRight w:val="0"/>
              <w:marTop w:val="0"/>
              <w:marBottom w:val="225"/>
              <w:divBdr>
                <w:top w:val="none" w:sz="0" w:space="0" w:color="auto"/>
                <w:left w:val="none" w:sz="0" w:space="0" w:color="auto"/>
                <w:bottom w:val="none" w:sz="0" w:space="0" w:color="auto"/>
                <w:right w:val="none" w:sz="0" w:space="0" w:color="auto"/>
              </w:divBdr>
              <w:divsChild>
                <w:div w:id="1213882589">
                  <w:marLeft w:val="0"/>
                  <w:marRight w:val="540"/>
                  <w:marTop w:val="0"/>
                  <w:marBottom w:val="0"/>
                  <w:divBdr>
                    <w:top w:val="none" w:sz="0" w:space="0" w:color="auto"/>
                    <w:left w:val="none" w:sz="0" w:space="0" w:color="auto"/>
                    <w:bottom w:val="none" w:sz="0" w:space="0" w:color="auto"/>
                    <w:right w:val="none" w:sz="0" w:space="0" w:color="auto"/>
                  </w:divBdr>
                  <w:divsChild>
                    <w:div w:id="2035231245">
                      <w:marLeft w:val="0"/>
                      <w:marRight w:val="0"/>
                      <w:marTop w:val="15"/>
                      <w:marBottom w:val="15"/>
                      <w:divBdr>
                        <w:top w:val="none" w:sz="0" w:space="0" w:color="auto"/>
                        <w:left w:val="none" w:sz="0" w:space="0" w:color="auto"/>
                        <w:bottom w:val="none" w:sz="0" w:space="0" w:color="auto"/>
                        <w:right w:val="none" w:sz="0" w:space="0" w:color="auto"/>
                      </w:divBdr>
                      <w:divsChild>
                        <w:div w:id="17190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982502">
          <w:marLeft w:val="0"/>
          <w:marRight w:val="0"/>
          <w:marTop w:val="0"/>
          <w:marBottom w:val="0"/>
          <w:divBdr>
            <w:top w:val="none" w:sz="0" w:space="0" w:color="auto"/>
            <w:left w:val="none" w:sz="0" w:space="0" w:color="auto"/>
            <w:bottom w:val="none" w:sz="0" w:space="0" w:color="auto"/>
            <w:right w:val="none" w:sz="0" w:space="0" w:color="auto"/>
          </w:divBdr>
          <w:divsChild>
            <w:div w:id="1783256723">
              <w:marLeft w:val="0"/>
              <w:marRight w:val="0"/>
              <w:marTop w:val="0"/>
              <w:marBottom w:val="225"/>
              <w:divBdr>
                <w:top w:val="none" w:sz="0" w:space="0" w:color="auto"/>
                <w:left w:val="none" w:sz="0" w:space="0" w:color="auto"/>
                <w:bottom w:val="none" w:sz="0" w:space="0" w:color="auto"/>
                <w:right w:val="none" w:sz="0" w:space="0" w:color="auto"/>
              </w:divBdr>
              <w:divsChild>
                <w:div w:id="1040203810">
                  <w:marLeft w:val="0"/>
                  <w:marRight w:val="540"/>
                  <w:marTop w:val="0"/>
                  <w:marBottom w:val="0"/>
                  <w:divBdr>
                    <w:top w:val="none" w:sz="0" w:space="0" w:color="auto"/>
                    <w:left w:val="none" w:sz="0" w:space="0" w:color="auto"/>
                    <w:bottom w:val="none" w:sz="0" w:space="0" w:color="auto"/>
                    <w:right w:val="none" w:sz="0" w:space="0" w:color="auto"/>
                  </w:divBdr>
                  <w:divsChild>
                    <w:div w:id="964697865">
                      <w:marLeft w:val="0"/>
                      <w:marRight w:val="0"/>
                      <w:marTop w:val="15"/>
                      <w:marBottom w:val="15"/>
                      <w:divBdr>
                        <w:top w:val="none" w:sz="0" w:space="0" w:color="auto"/>
                        <w:left w:val="none" w:sz="0" w:space="0" w:color="auto"/>
                        <w:bottom w:val="none" w:sz="0" w:space="0" w:color="auto"/>
                        <w:right w:val="none" w:sz="0" w:space="0" w:color="auto"/>
                      </w:divBdr>
                      <w:divsChild>
                        <w:div w:id="10919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4806">
          <w:marLeft w:val="0"/>
          <w:marRight w:val="0"/>
          <w:marTop w:val="0"/>
          <w:marBottom w:val="0"/>
          <w:divBdr>
            <w:top w:val="none" w:sz="0" w:space="0" w:color="auto"/>
            <w:left w:val="none" w:sz="0" w:space="0" w:color="auto"/>
            <w:bottom w:val="none" w:sz="0" w:space="0" w:color="auto"/>
            <w:right w:val="none" w:sz="0" w:space="0" w:color="auto"/>
          </w:divBdr>
          <w:divsChild>
            <w:div w:id="1483934968">
              <w:marLeft w:val="0"/>
              <w:marRight w:val="0"/>
              <w:marTop w:val="0"/>
              <w:marBottom w:val="225"/>
              <w:divBdr>
                <w:top w:val="none" w:sz="0" w:space="0" w:color="auto"/>
                <w:left w:val="none" w:sz="0" w:space="0" w:color="auto"/>
                <w:bottom w:val="none" w:sz="0" w:space="0" w:color="auto"/>
                <w:right w:val="none" w:sz="0" w:space="0" w:color="auto"/>
              </w:divBdr>
              <w:divsChild>
                <w:div w:id="1307278400">
                  <w:marLeft w:val="0"/>
                  <w:marRight w:val="540"/>
                  <w:marTop w:val="0"/>
                  <w:marBottom w:val="0"/>
                  <w:divBdr>
                    <w:top w:val="none" w:sz="0" w:space="0" w:color="auto"/>
                    <w:left w:val="none" w:sz="0" w:space="0" w:color="auto"/>
                    <w:bottom w:val="none" w:sz="0" w:space="0" w:color="auto"/>
                    <w:right w:val="none" w:sz="0" w:space="0" w:color="auto"/>
                  </w:divBdr>
                  <w:divsChild>
                    <w:div w:id="747658018">
                      <w:marLeft w:val="0"/>
                      <w:marRight w:val="0"/>
                      <w:marTop w:val="15"/>
                      <w:marBottom w:val="15"/>
                      <w:divBdr>
                        <w:top w:val="none" w:sz="0" w:space="0" w:color="auto"/>
                        <w:left w:val="none" w:sz="0" w:space="0" w:color="auto"/>
                        <w:bottom w:val="none" w:sz="0" w:space="0" w:color="auto"/>
                        <w:right w:val="none" w:sz="0" w:space="0" w:color="auto"/>
                      </w:divBdr>
                      <w:divsChild>
                        <w:div w:id="15561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737087">
          <w:marLeft w:val="0"/>
          <w:marRight w:val="0"/>
          <w:marTop w:val="0"/>
          <w:marBottom w:val="0"/>
          <w:divBdr>
            <w:top w:val="none" w:sz="0" w:space="0" w:color="auto"/>
            <w:left w:val="none" w:sz="0" w:space="0" w:color="auto"/>
            <w:bottom w:val="none" w:sz="0" w:space="0" w:color="auto"/>
            <w:right w:val="none" w:sz="0" w:space="0" w:color="auto"/>
          </w:divBdr>
          <w:divsChild>
            <w:div w:id="1639601583">
              <w:marLeft w:val="0"/>
              <w:marRight w:val="0"/>
              <w:marTop w:val="0"/>
              <w:marBottom w:val="225"/>
              <w:divBdr>
                <w:top w:val="none" w:sz="0" w:space="0" w:color="auto"/>
                <w:left w:val="none" w:sz="0" w:space="0" w:color="auto"/>
                <w:bottom w:val="none" w:sz="0" w:space="0" w:color="auto"/>
                <w:right w:val="none" w:sz="0" w:space="0" w:color="auto"/>
              </w:divBdr>
              <w:divsChild>
                <w:div w:id="1169248471">
                  <w:marLeft w:val="0"/>
                  <w:marRight w:val="540"/>
                  <w:marTop w:val="0"/>
                  <w:marBottom w:val="0"/>
                  <w:divBdr>
                    <w:top w:val="none" w:sz="0" w:space="0" w:color="auto"/>
                    <w:left w:val="none" w:sz="0" w:space="0" w:color="auto"/>
                    <w:bottom w:val="none" w:sz="0" w:space="0" w:color="auto"/>
                    <w:right w:val="none" w:sz="0" w:space="0" w:color="auto"/>
                  </w:divBdr>
                  <w:divsChild>
                    <w:div w:id="410348320">
                      <w:marLeft w:val="0"/>
                      <w:marRight w:val="0"/>
                      <w:marTop w:val="15"/>
                      <w:marBottom w:val="15"/>
                      <w:divBdr>
                        <w:top w:val="none" w:sz="0" w:space="0" w:color="auto"/>
                        <w:left w:val="none" w:sz="0" w:space="0" w:color="auto"/>
                        <w:bottom w:val="none" w:sz="0" w:space="0" w:color="auto"/>
                        <w:right w:val="none" w:sz="0" w:space="0" w:color="auto"/>
                      </w:divBdr>
                      <w:divsChild>
                        <w:div w:id="3417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83520">
          <w:marLeft w:val="0"/>
          <w:marRight w:val="0"/>
          <w:marTop w:val="0"/>
          <w:marBottom w:val="0"/>
          <w:divBdr>
            <w:top w:val="none" w:sz="0" w:space="0" w:color="auto"/>
            <w:left w:val="none" w:sz="0" w:space="0" w:color="auto"/>
            <w:bottom w:val="none" w:sz="0" w:space="0" w:color="auto"/>
            <w:right w:val="none" w:sz="0" w:space="0" w:color="auto"/>
          </w:divBdr>
          <w:divsChild>
            <w:div w:id="1746025937">
              <w:marLeft w:val="0"/>
              <w:marRight w:val="0"/>
              <w:marTop w:val="0"/>
              <w:marBottom w:val="225"/>
              <w:divBdr>
                <w:top w:val="none" w:sz="0" w:space="0" w:color="auto"/>
                <w:left w:val="none" w:sz="0" w:space="0" w:color="auto"/>
                <w:bottom w:val="none" w:sz="0" w:space="0" w:color="auto"/>
                <w:right w:val="none" w:sz="0" w:space="0" w:color="auto"/>
              </w:divBdr>
              <w:divsChild>
                <w:div w:id="1098868639">
                  <w:marLeft w:val="0"/>
                  <w:marRight w:val="540"/>
                  <w:marTop w:val="0"/>
                  <w:marBottom w:val="0"/>
                  <w:divBdr>
                    <w:top w:val="none" w:sz="0" w:space="0" w:color="auto"/>
                    <w:left w:val="none" w:sz="0" w:space="0" w:color="auto"/>
                    <w:bottom w:val="none" w:sz="0" w:space="0" w:color="auto"/>
                    <w:right w:val="none" w:sz="0" w:space="0" w:color="auto"/>
                  </w:divBdr>
                  <w:divsChild>
                    <w:div w:id="1809741327">
                      <w:marLeft w:val="0"/>
                      <w:marRight w:val="0"/>
                      <w:marTop w:val="15"/>
                      <w:marBottom w:val="15"/>
                      <w:divBdr>
                        <w:top w:val="none" w:sz="0" w:space="0" w:color="auto"/>
                        <w:left w:val="none" w:sz="0" w:space="0" w:color="auto"/>
                        <w:bottom w:val="none" w:sz="0" w:space="0" w:color="auto"/>
                        <w:right w:val="none" w:sz="0" w:space="0" w:color="auto"/>
                      </w:divBdr>
                      <w:divsChild>
                        <w:div w:id="18510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24471">
          <w:marLeft w:val="0"/>
          <w:marRight w:val="0"/>
          <w:marTop w:val="0"/>
          <w:marBottom w:val="0"/>
          <w:divBdr>
            <w:top w:val="none" w:sz="0" w:space="0" w:color="auto"/>
            <w:left w:val="none" w:sz="0" w:space="0" w:color="auto"/>
            <w:bottom w:val="none" w:sz="0" w:space="0" w:color="auto"/>
            <w:right w:val="none" w:sz="0" w:space="0" w:color="auto"/>
          </w:divBdr>
          <w:divsChild>
            <w:div w:id="2034455662">
              <w:marLeft w:val="0"/>
              <w:marRight w:val="0"/>
              <w:marTop w:val="0"/>
              <w:marBottom w:val="225"/>
              <w:divBdr>
                <w:top w:val="none" w:sz="0" w:space="0" w:color="auto"/>
                <w:left w:val="none" w:sz="0" w:space="0" w:color="auto"/>
                <w:bottom w:val="none" w:sz="0" w:space="0" w:color="auto"/>
                <w:right w:val="none" w:sz="0" w:space="0" w:color="auto"/>
              </w:divBdr>
              <w:divsChild>
                <w:div w:id="87195266">
                  <w:marLeft w:val="0"/>
                  <w:marRight w:val="540"/>
                  <w:marTop w:val="0"/>
                  <w:marBottom w:val="0"/>
                  <w:divBdr>
                    <w:top w:val="none" w:sz="0" w:space="0" w:color="auto"/>
                    <w:left w:val="none" w:sz="0" w:space="0" w:color="auto"/>
                    <w:bottom w:val="none" w:sz="0" w:space="0" w:color="auto"/>
                    <w:right w:val="none" w:sz="0" w:space="0" w:color="auto"/>
                  </w:divBdr>
                  <w:divsChild>
                    <w:div w:id="79646165">
                      <w:marLeft w:val="0"/>
                      <w:marRight w:val="0"/>
                      <w:marTop w:val="15"/>
                      <w:marBottom w:val="15"/>
                      <w:divBdr>
                        <w:top w:val="none" w:sz="0" w:space="0" w:color="auto"/>
                        <w:left w:val="none" w:sz="0" w:space="0" w:color="auto"/>
                        <w:bottom w:val="none" w:sz="0" w:space="0" w:color="auto"/>
                        <w:right w:val="none" w:sz="0" w:space="0" w:color="auto"/>
                      </w:divBdr>
                      <w:divsChild>
                        <w:div w:id="7397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7953">
          <w:marLeft w:val="0"/>
          <w:marRight w:val="0"/>
          <w:marTop w:val="0"/>
          <w:marBottom w:val="0"/>
          <w:divBdr>
            <w:top w:val="none" w:sz="0" w:space="0" w:color="auto"/>
            <w:left w:val="none" w:sz="0" w:space="0" w:color="auto"/>
            <w:bottom w:val="none" w:sz="0" w:space="0" w:color="auto"/>
            <w:right w:val="none" w:sz="0" w:space="0" w:color="auto"/>
          </w:divBdr>
          <w:divsChild>
            <w:div w:id="260651381">
              <w:marLeft w:val="0"/>
              <w:marRight w:val="0"/>
              <w:marTop w:val="0"/>
              <w:marBottom w:val="225"/>
              <w:divBdr>
                <w:top w:val="none" w:sz="0" w:space="0" w:color="auto"/>
                <w:left w:val="none" w:sz="0" w:space="0" w:color="auto"/>
                <w:bottom w:val="none" w:sz="0" w:space="0" w:color="auto"/>
                <w:right w:val="none" w:sz="0" w:space="0" w:color="auto"/>
              </w:divBdr>
              <w:divsChild>
                <w:div w:id="1959026985">
                  <w:marLeft w:val="0"/>
                  <w:marRight w:val="540"/>
                  <w:marTop w:val="0"/>
                  <w:marBottom w:val="0"/>
                  <w:divBdr>
                    <w:top w:val="none" w:sz="0" w:space="0" w:color="auto"/>
                    <w:left w:val="none" w:sz="0" w:space="0" w:color="auto"/>
                    <w:bottom w:val="none" w:sz="0" w:space="0" w:color="auto"/>
                    <w:right w:val="none" w:sz="0" w:space="0" w:color="auto"/>
                  </w:divBdr>
                  <w:divsChild>
                    <w:div w:id="1973515462">
                      <w:marLeft w:val="0"/>
                      <w:marRight w:val="0"/>
                      <w:marTop w:val="15"/>
                      <w:marBottom w:val="15"/>
                      <w:divBdr>
                        <w:top w:val="none" w:sz="0" w:space="0" w:color="auto"/>
                        <w:left w:val="none" w:sz="0" w:space="0" w:color="auto"/>
                        <w:bottom w:val="none" w:sz="0" w:space="0" w:color="auto"/>
                        <w:right w:val="none" w:sz="0" w:space="0" w:color="auto"/>
                      </w:divBdr>
                      <w:divsChild>
                        <w:div w:id="14270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426745">
          <w:marLeft w:val="0"/>
          <w:marRight w:val="0"/>
          <w:marTop w:val="0"/>
          <w:marBottom w:val="0"/>
          <w:divBdr>
            <w:top w:val="none" w:sz="0" w:space="0" w:color="auto"/>
            <w:left w:val="none" w:sz="0" w:space="0" w:color="auto"/>
            <w:bottom w:val="none" w:sz="0" w:space="0" w:color="auto"/>
            <w:right w:val="none" w:sz="0" w:space="0" w:color="auto"/>
          </w:divBdr>
          <w:divsChild>
            <w:div w:id="22903384">
              <w:marLeft w:val="0"/>
              <w:marRight w:val="0"/>
              <w:marTop w:val="0"/>
              <w:marBottom w:val="225"/>
              <w:divBdr>
                <w:top w:val="none" w:sz="0" w:space="0" w:color="auto"/>
                <w:left w:val="none" w:sz="0" w:space="0" w:color="auto"/>
                <w:bottom w:val="none" w:sz="0" w:space="0" w:color="auto"/>
                <w:right w:val="none" w:sz="0" w:space="0" w:color="auto"/>
              </w:divBdr>
              <w:divsChild>
                <w:div w:id="98179614">
                  <w:marLeft w:val="0"/>
                  <w:marRight w:val="540"/>
                  <w:marTop w:val="0"/>
                  <w:marBottom w:val="0"/>
                  <w:divBdr>
                    <w:top w:val="none" w:sz="0" w:space="0" w:color="auto"/>
                    <w:left w:val="none" w:sz="0" w:space="0" w:color="auto"/>
                    <w:bottom w:val="none" w:sz="0" w:space="0" w:color="auto"/>
                    <w:right w:val="none" w:sz="0" w:space="0" w:color="auto"/>
                  </w:divBdr>
                  <w:divsChild>
                    <w:div w:id="182550484">
                      <w:marLeft w:val="0"/>
                      <w:marRight w:val="0"/>
                      <w:marTop w:val="15"/>
                      <w:marBottom w:val="15"/>
                      <w:divBdr>
                        <w:top w:val="none" w:sz="0" w:space="0" w:color="auto"/>
                        <w:left w:val="none" w:sz="0" w:space="0" w:color="auto"/>
                        <w:bottom w:val="none" w:sz="0" w:space="0" w:color="auto"/>
                        <w:right w:val="none" w:sz="0" w:space="0" w:color="auto"/>
                      </w:divBdr>
                      <w:divsChild>
                        <w:div w:id="81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511960">
          <w:marLeft w:val="0"/>
          <w:marRight w:val="0"/>
          <w:marTop w:val="0"/>
          <w:marBottom w:val="0"/>
          <w:divBdr>
            <w:top w:val="none" w:sz="0" w:space="0" w:color="auto"/>
            <w:left w:val="none" w:sz="0" w:space="0" w:color="auto"/>
            <w:bottom w:val="none" w:sz="0" w:space="0" w:color="auto"/>
            <w:right w:val="none" w:sz="0" w:space="0" w:color="auto"/>
          </w:divBdr>
          <w:divsChild>
            <w:div w:id="837040953">
              <w:marLeft w:val="0"/>
              <w:marRight w:val="0"/>
              <w:marTop w:val="0"/>
              <w:marBottom w:val="225"/>
              <w:divBdr>
                <w:top w:val="none" w:sz="0" w:space="0" w:color="auto"/>
                <w:left w:val="none" w:sz="0" w:space="0" w:color="auto"/>
                <w:bottom w:val="none" w:sz="0" w:space="0" w:color="auto"/>
                <w:right w:val="none" w:sz="0" w:space="0" w:color="auto"/>
              </w:divBdr>
              <w:divsChild>
                <w:div w:id="1186211490">
                  <w:marLeft w:val="0"/>
                  <w:marRight w:val="540"/>
                  <w:marTop w:val="0"/>
                  <w:marBottom w:val="0"/>
                  <w:divBdr>
                    <w:top w:val="none" w:sz="0" w:space="0" w:color="auto"/>
                    <w:left w:val="none" w:sz="0" w:space="0" w:color="auto"/>
                    <w:bottom w:val="none" w:sz="0" w:space="0" w:color="auto"/>
                    <w:right w:val="none" w:sz="0" w:space="0" w:color="auto"/>
                  </w:divBdr>
                  <w:divsChild>
                    <w:div w:id="435248380">
                      <w:marLeft w:val="0"/>
                      <w:marRight w:val="0"/>
                      <w:marTop w:val="15"/>
                      <w:marBottom w:val="15"/>
                      <w:divBdr>
                        <w:top w:val="none" w:sz="0" w:space="0" w:color="auto"/>
                        <w:left w:val="none" w:sz="0" w:space="0" w:color="auto"/>
                        <w:bottom w:val="none" w:sz="0" w:space="0" w:color="auto"/>
                        <w:right w:val="none" w:sz="0" w:space="0" w:color="auto"/>
                      </w:divBdr>
                      <w:divsChild>
                        <w:div w:id="19927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399469">
          <w:marLeft w:val="0"/>
          <w:marRight w:val="0"/>
          <w:marTop w:val="0"/>
          <w:marBottom w:val="0"/>
          <w:divBdr>
            <w:top w:val="none" w:sz="0" w:space="0" w:color="auto"/>
            <w:left w:val="none" w:sz="0" w:space="0" w:color="auto"/>
            <w:bottom w:val="none" w:sz="0" w:space="0" w:color="auto"/>
            <w:right w:val="none" w:sz="0" w:space="0" w:color="auto"/>
          </w:divBdr>
          <w:divsChild>
            <w:div w:id="1069308296">
              <w:marLeft w:val="0"/>
              <w:marRight w:val="0"/>
              <w:marTop w:val="0"/>
              <w:marBottom w:val="225"/>
              <w:divBdr>
                <w:top w:val="none" w:sz="0" w:space="0" w:color="auto"/>
                <w:left w:val="none" w:sz="0" w:space="0" w:color="auto"/>
                <w:bottom w:val="none" w:sz="0" w:space="0" w:color="auto"/>
                <w:right w:val="none" w:sz="0" w:space="0" w:color="auto"/>
              </w:divBdr>
              <w:divsChild>
                <w:div w:id="138812019">
                  <w:marLeft w:val="0"/>
                  <w:marRight w:val="540"/>
                  <w:marTop w:val="0"/>
                  <w:marBottom w:val="0"/>
                  <w:divBdr>
                    <w:top w:val="none" w:sz="0" w:space="0" w:color="auto"/>
                    <w:left w:val="none" w:sz="0" w:space="0" w:color="auto"/>
                    <w:bottom w:val="none" w:sz="0" w:space="0" w:color="auto"/>
                    <w:right w:val="none" w:sz="0" w:space="0" w:color="auto"/>
                  </w:divBdr>
                  <w:divsChild>
                    <w:div w:id="1775132899">
                      <w:marLeft w:val="0"/>
                      <w:marRight w:val="0"/>
                      <w:marTop w:val="15"/>
                      <w:marBottom w:val="15"/>
                      <w:divBdr>
                        <w:top w:val="none" w:sz="0" w:space="0" w:color="auto"/>
                        <w:left w:val="none" w:sz="0" w:space="0" w:color="auto"/>
                        <w:bottom w:val="none" w:sz="0" w:space="0" w:color="auto"/>
                        <w:right w:val="none" w:sz="0" w:space="0" w:color="auto"/>
                      </w:divBdr>
                      <w:divsChild>
                        <w:div w:id="7094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84536">
          <w:marLeft w:val="0"/>
          <w:marRight w:val="0"/>
          <w:marTop w:val="0"/>
          <w:marBottom w:val="0"/>
          <w:divBdr>
            <w:top w:val="none" w:sz="0" w:space="0" w:color="auto"/>
            <w:left w:val="none" w:sz="0" w:space="0" w:color="auto"/>
            <w:bottom w:val="none" w:sz="0" w:space="0" w:color="auto"/>
            <w:right w:val="none" w:sz="0" w:space="0" w:color="auto"/>
          </w:divBdr>
          <w:divsChild>
            <w:div w:id="1358003487">
              <w:marLeft w:val="0"/>
              <w:marRight w:val="0"/>
              <w:marTop w:val="0"/>
              <w:marBottom w:val="225"/>
              <w:divBdr>
                <w:top w:val="none" w:sz="0" w:space="0" w:color="auto"/>
                <w:left w:val="none" w:sz="0" w:space="0" w:color="auto"/>
                <w:bottom w:val="none" w:sz="0" w:space="0" w:color="auto"/>
                <w:right w:val="none" w:sz="0" w:space="0" w:color="auto"/>
              </w:divBdr>
              <w:divsChild>
                <w:div w:id="2124884990">
                  <w:marLeft w:val="0"/>
                  <w:marRight w:val="540"/>
                  <w:marTop w:val="0"/>
                  <w:marBottom w:val="0"/>
                  <w:divBdr>
                    <w:top w:val="none" w:sz="0" w:space="0" w:color="auto"/>
                    <w:left w:val="none" w:sz="0" w:space="0" w:color="auto"/>
                    <w:bottom w:val="none" w:sz="0" w:space="0" w:color="auto"/>
                    <w:right w:val="none" w:sz="0" w:space="0" w:color="auto"/>
                  </w:divBdr>
                  <w:divsChild>
                    <w:div w:id="48651240">
                      <w:marLeft w:val="0"/>
                      <w:marRight w:val="0"/>
                      <w:marTop w:val="15"/>
                      <w:marBottom w:val="15"/>
                      <w:divBdr>
                        <w:top w:val="none" w:sz="0" w:space="0" w:color="auto"/>
                        <w:left w:val="none" w:sz="0" w:space="0" w:color="auto"/>
                        <w:bottom w:val="none" w:sz="0" w:space="0" w:color="auto"/>
                        <w:right w:val="none" w:sz="0" w:space="0" w:color="auto"/>
                      </w:divBdr>
                      <w:divsChild>
                        <w:div w:id="8145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99175">
          <w:marLeft w:val="0"/>
          <w:marRight w:val="0"/>
          <w:marTop w:val="0"/>
          <w:marBottom w:val="0"/>
          <w:divBdr>
            <w:top w:val="none" w:sz="0" w:space="0" w:color="auto"/>
            <w:left w:val="none" w:sz="0" w:space="0" w:color="auto"/>
            <w:bottom w:val="none" w:sz="0" w:space="0" w:color="auto"/>
            <w:right w:val="none" w:sz="0" w:space="0" w:color="auto"/>
          </w:divBdr>
          <w:divsChild>
            <w:div w:id="1864435089">
              <w:marLeft w:val="0"/>
              <w:marRight w:val="0"/>
              <w:marTop w:val="0"/>
              <w:marBottom w:val="225"/>
              <w:divBdr>
                <w:top w:val="none" w:sz="0" w:space="0" w:color="auto"/>
                <w:left w:val="none" w:sz="0" w:space="0" w:color="auto"/>
                <w:bottom w:val="none" w:sz="0" w:space="0" w:color="auto"/>
                <w:right w:val="none" w:sz="0" w:space="0" w:color="auto"/>
              </w:divBdr>
              <w:divsChild>
                <w:div w:id="707069618">
                  <w:marLeft w:val="0"/>
                  <w:marRight w:val="540"/>
                  <w:marTop w:val="0"/>
                  <w:marBottom w:val="0"/>
                  <w:divBdr>
                    <w:top w:val="none" w:sz="0" w:space="0" w:color="auto"/>
                    <w:left w:val="none" w:sz="0" w:space="0" w:color="auto"/>
                    <w:bottom w:val="none" w:sz="0" w:space="0" w:color="auto"/>
                    <w:right w:val="none" w:sz="0" w:space="0" w:color="auto"/>
                  </w:divBdr>
                  <w:divsChild>
                    <w:div w:id="988217972">
                      <w:marLeft w:val="0"/>
                      <w:marRight w:val="0"/>
                      <w:marTop w:val="15"/>
                      <w:marBottom w:val="15"/>
                      <w:divBdr>
                        <w:top w:val="none" w:sz="0" w:space="0" w:color="auto"/>
                        <w:left w:val="none" w:sz="0" w:space="0" w:color="auto"/>
                        <w:bottom w:val="none" w:sz="0" w:space="0" w:color="auto"/>
                        <w:right w:val="none" w:sz="0" w:space="0" w:color="auto"/>
                      </w:divBdr>
                      <w:divsChild>
                        <w:div w:id="18548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085721">
      <w:bodyDiv w:val="1"/>
      <w:marLeft w:val="0"/>
      <w:marRight w:val="0"/>
      <w:marTop w:val="0"/>
      <w:marBottom w:val="0"/>
      <w:divBdr>
        <w:top w:val="none" w:sz="0" w:space="0" w:color="auto"/>
        <w:left w:val="none" w:sz="0" w:space="0" w:color="auto"/>
        <w:bottom w:val="none" w:sz="0" w:space="0" w:color="auto"/>
        <w:right w:val="none" w:sz="0" w:space="0" w:color="auto"/>
      </w:divBdr>
      <w:divsChild>
        <w:div w:id="954405425">
          <w:marLeft w:val="0"/>
          <w:marRight w:val="0"/>
          <w:marTop w:val="0"/>
          <w:marBottom w:val="0"/>
          <w:divBdr>
            <w:top w:val="none" w:sz="0" w:space="0" w:color="auto"/>
            <w:left w:val="none" w:sz="0" w:space="0" w:color="auto"/>
            <w:bottom w:val="none" w:sz="0" w:space="0" w:color="auto"/>
            <w:right w:val="none" w:sz="0" w:space="0" w:color="auto"/>
          </w:divBdr>
          <w:divsChild>
            <w:div w:id="769787395">
              <w:marLeft w:val="0"/>
              <w:marRight w:val="0"/>
              <w:marTop w:val="0"/>
              <w:marBottom w:val="225"/>
              <w:divBdr>
                <w:top w:val="none" w:sz="0" w:space="0" w:color="auto"/>
                <w:left w:val="none" w:sz="0" w:space="0" w:color="auto"/>
                <w:bottom w:val="none" w:sz="0" w:space="0" w:color="auto"/>
                <w:right w:val="none" w:sz="0" w:space="0" w:color="auto"/>
              </w:divBdr>
              <w:divsChild>
                <w:div w:id="1496409056">
                  <w:marLeft w:val="0"/>
                  <w:marRight w:val="540"/>
                  <w:marTop w:val="0"/>
                  <w:marBottom w:val="0"/>
                  <w:divBdr>
                    <w:top w:val="none" w:sz="0" w:space="0" w:color="auto"/>
                    <w:left w:val="none" w:sz="0" w:space="0" w:color="auto"/>
                    <w:bottom w:val="none" w:sz="0" w:space="0" w:color="auto"/>
                    <w:right w:val="none" w:sz="0" w:space="0" w:color="auto"/>
                  </w:divBdr>
                  <w:divsChild>
                    <w:div w:id="2116973228">
                      <w:marLeft w:val="0"/>
                      <w:marRight w:val="0"/>
                      <w:marTop w:val="15"/>
                      <w:marBottom w:val="15"/>
                      <w:divBdr>
                        <w:top w:val="none" w:sz="0" w:space="0" w:color="auto"/>
                        <w:left w:val="none" w:sz="0" w:space="0" w:color="auto"/>
                        <w:bottom w:val="none" w:sz="0" w:space="0" w:color="auto"/>
                        <w:right w:val="none" w:sz="0" w:space="0" w:color="auto"/>
                      </w:divBdr>
                      <w:divsChild>
                        <w:div w:id="11828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16880">
          <w:marLeft w:val="0"/>
          <w:marRight w:val="0"/>
          <w:marTop w:val="0"/>
          <w:marBottom w:val="0"/>
          <w:divBdr>
            <w:top w:val="none" w:sz="0" w:space="0" w:color="auto"/>
            <w:left w:val="none" w:sz="0" w:space="0" w:color="auto"/>
            <w:bottom w:val="none" w:sz="0" w:space="0" w:color="auto"/>
            <w:right w:val="none" w:sz="0" w:space="0" w:color="auto"/>
          </w:divBdr>
          <w:divsChild>
            <w:div w:id="2012365344">
              <w:marLeft w:val="0"/>
              <w:marRight w:val="0"/>
              <w:marTop w:val="0"/>
              <w:marBottom w:val="225"/>
              <w:divBdr>
                <w:top w:val="none" w:sz="0" w:space="0" w:color="auto"/>
                <w:left w:val="none" w:sz="0" w:space="0" w:color="auto"/>
                <w:bottom w:val="none" w:sz="0" w:space="0" w:color="auto"/>
                <w:right w:val="none" w:sz="0" w:space="0" w:color="auto"/>
              </w:divBdr>
              <w:divsChild>
                <w:div w:id="92675477">
                  <w:marLeft w:val="0"/>
                  <w:marRight w:val="540"/>
                  <w:marTop w:val="0"/>
                  <w:marBottom w:val="0"/>
                  <w:divBdr>
                    <w:top w:val="none" w:sz="0" w:space="0" w:color="auto"/>
                    <w:left w:val="none" w:sz="0" w:space="0" w:color="auto"/>
                    <w:bottom w:val="none" w:sz="0" w:space="0" w:color="auto"/>
                    <w:right w:val="none" w:sz="0" w:space="0" w:color="auto"/>
                  </w:divBdr>
                  <w:divsChild>
                    <w:div w:id="115877961">
                      <w:marLeft w:val="0"/>
                      <w:marRight w:val="0"/>
                      <w:marTop w:val="15"/>
                      <w:marBottom w:val="15"/>
                      <w:divBdr>
                        <w:top w:val="none" w:sz="0" w:space="0" w:color="auto"/>
                        <w:left w:val="none" w:sz="0" w:space="0" w:color="auto"/>
                        <w:bottom w:val="none" w:sz="0" w:space="0" w:color="auto"/>
                        <w:right w:val="none" w:sz="0" w:space="0" w:color="auto"/>
                      </w:divBdr>
                      <w:divsChild>
                        <w:div w:id="212149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508">
          <w:marLeft w:val="0"/>
          <w:marRight w:val="0"/>
          <w:marTop w:val="0"/>
          <w:marBottom w:val="0"/>
          <w:divBdr>
            <w:top w:val="none" w:sz="0" w:space="0" w:color="auto"/>
            <w:left w:val="none" w:sz="0" w:space="0" w:color="auto"/>
            <w:bottom w:val="none" w:sz="0" w:space="0" w:color="auto"/>
            <w:right w:val="none" w:sz="0" w:space="0" w:color="auto"/>
          </w:divBdr>
          <w:divsChild>
            <w:div w:id="1777942995">
              <w:marLeft w:val="0"/>
              <w:marRight w:val="0"/>
              <w:marTop w:val="0"/>
              <w:marBottom w:val="225"/>
              <w:divBdr>
                <w:top w:val="none" w:sz="0" w:space="0" w:color="auto"/>
                <w:left w:val="none" w:sz="0" w:space="0" w:color="auto"/>
                <w:bottom w:val="none" w:sz="0" w:space="0" w:color="auto"/>
                <w:right w:val="none" w:sz="0" w:space="0" w:color="auto"/>
              </w:divBdr>
              <w:divsChild>
                <w:div w:id="1558852931">
                  <w:marLeft w:val="0"/>
                  <w:marRight w:val="540"/>
                  <w:marTop w:val="0"/>
                  <w:marBottom w:val="0"/>
                  <w:divBdr>
                    <w:top w:val="none" w:sz="0" w:space="0" w:color="auto"/>
                    <w:left w:val="none" w:sz="0" w:space="0" w:color="auto"/>
                    <w:bottom w:val="none" w:sz="0" w:space="0" w:color="auto"/>
                    <w:right w:val="none" w:sz="0" w:space="0" w:color="auto"/>
                  </w:divBdr>
                  <w:divsChild>
                    <w:div w:id="315838011">
                      <w:marLeft w:val="0"/>
                      <w:marRight w:val="0"/>
                      <w:marTop w:val="15"/>
                      <w:marBottom w:val="15"/>
                      <w:divBdr>
                        <w:top w:val="none" w:sz="0" w:space="0" w:color="auto"/>
                        <w:left w:val="none" w:sz="0" w:space="0" w:color="auto"/>
                        <w:bottom w:val="none" w:sz="0" w:space="0" w:color="auto"/>
                        <w:right w:val="none" w:sz="0" w:space="0" w:color="auto"/>
                      </w:divBdr>
                      <w:divsChild>
                        <w:div w:id="3654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1451">
          <w:marLeft w:val="0"/>
          <w:marRight w:val="0"/>
          <w:marTop w:val="0"/>
          <w:marBottom w:val="0"/>
          <w:divBdr>
            <w:top w:val="none" w:sz="0" w:space="0" w:color="auto"/>
            <w:left w:val="none" w:sz="0" w:space="0" w:color="auto"/>
            <w:bottom w:val="none" w:sz="0" w:space="0" w:color="auto"/>
            <w:right w:val="none" w:sz="0" w:space="0" w:color="auto"/>
          </w:divBdr>
          <w:divsChild>
            <w:div w:id="594174186">
              <w:marLeft w:val="0"/>
              <w:marRight w:val="0"/>
              <w:marTop w:val="0"/>
              <w:marBottom w:val="225"/>
              <w:divBdr>
                <w:top w:val="none" w:sz="0" w:space="0" w:color="auto"/>
                <w:left w:val="none" w:sz="0" w:space="0" w:color="auto"/>
                <w:bottom w:val="none" w:sz="0" w:space="0" w:color="auto"/>
                <w:right w:val="none" w:sz="0" w:space="0" w:color="auto"/>
              </w:divBdr>
              <w:divsChild>
                <w:div w:id="1091391418">
                  <w:marLeft w:val="0"/>
                  <w:marRight w:val="540"/>
                  <w:marTop w:val="0"/>
                  <w:marBottom w:val="0"/>
                  <w:divBdr>
                    <w:top w:val="none" w:sz="0" w:space="0" w:color="auto"/>
                    <w:left w:val="none" w:sz="0" w:space="0" w:color="auto"/>
                    <w:bottom w:val="none" w:sz="0" w:space="0" w:color="auto"/>
                    <w:right w:val="none" w:sz="0" w:space="0" w:color="auto"/>
                  </w:divBdr>
                  <w:divsChild>
                    <w:div w:id="1209996181">
                      <w:marLeft w:val="0"/>
                      <w:marRight w:val="0"/>
                      <w:marTop w:val="15"/>
                      <w:marBottom w:val="15"/>
                      <w:divBdr>
                        <w:top w:val="none" w:sz="0" w:space="0" w:color="auto"/>
                        <w:left w:val="none" w:sz="0" w:space="0" w:color="auto"/>
                        <w:bottom w:val="none" w:sz="0" w:space="0" w:color="auto"/>
                        <w:right w:val="none" w:sz="0" w:space="0" w:color="auto"/>
                      </w:divBdr>
                      <w:divsChild>
                        <w:div w:id="911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69780">
          <w:marLeft w:val="0"/>
          <w:marRight w:val="0"/>
          <w:marTop w:val="0"/>
          <w:marBottom w:val="0"/>
          <w:divBdr>
            <w:top w:val="none" w:sz="0" w:space="0" w:color="auto"/>
            <w:left w:val="none" w:sz="0" w:space="0" w:color="auto"/>
            <w:bottom w:val="none" w:sz="0" w:space="0" w:color="auto"/>
            <w:right w:val="none" w:sz="0" w:space="0" w:color="auto"/>
          </w:divBdr>
          <w:divsChild>
            <w:div w:id="200745">
              <w:marLeft w:val="0"/>
              <w:marRight w:val="0"/>
              <w:marTop w:val="0"/>
              <w:marBottom w:val="225"/>
              <w:divBdr>
                <w:top w:val="none" w:sz="0" w:space="0" w:color="auto"/>
                <w:left w:val="none" w:sz="0" w:space="0" w:color="auto"/>
                <w:bottom w:val="none" w:sz="0" w:space="0" w:color="auto"/>
                <w:right w:val="none" w:sz="0" w:space="0" w:color="auto"/>
              </w:divBdr>
              <w:divsChild>
                <w:div w:id="569971513">
                  <w:marLeft w:val="0"/>
                  <w:marRight w:val="540"/>
                  <w:marTop w:val="0"/>
                  <w:marBottom w:val="0"/>
                  <w:divBdr>
                    <w:top w:val="none" w:sz="0" w:space="0" w:color="auto"/>
                    <w:left w:val="none" w:sz="0" w:space="0" w:color="auto"/>
                    <w:bottom w:val="none" w:sz="0" w:space="0" w:color="auto"/>
                    <w:right w:val="none" w:sz="0" w:space="0" w:color="auto"/>
                  </w:divBdr>
                  <w:divsChild>
                    <w:div w:id="25835852">
                      <w:marLeft w:val="0"/>
                      <w:marRight w:val="0"/>
                      <w:marTop w:val="15"/>
                      <w:marBottom w:val="15"/>
                      <w:divBdr>
                        <w:top w:val="none" w:sz="0" w:space="0" w:color="auto"/>
                        <w:left w:val="none" w:sz="0" w:space="0" w:color="auto"/>
                        <w:bottom w:val="none" w:sz="0" w:space="0" w:color="auto"/>
                        <w:right w:val="none" w:sz="0" w:space="0" w:color="auto"/>
                      </w:divBdr>
                      <w:divsChild>
                        <w:div w:id="1533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741515">
          <w:marLeft w:val="0"/>
          <w:marRight w:val="0"/>
          <w:marTop w:val="0"/>
          <w:marBottom w:val="0"/>
          <w:divBdr>
            <w:top w:val="none" w:sz="0" w:space="0" w:color="auto"/>
            <w:left w:val="none" w:sz="0" w:space="0" w:color="auto"/>
            <w:bottom w:val="none" w:sz="0" w:space="0" w:color="auto"/>
            <w:right w:val="none" w:sz="0" w:space="0" w:color="auto"/>
          </w:divBdr>
          <w:divsChild>
            <w:div w:id="1670674556">
              <w:marLeft w:val="0"/>
              <w:marRight w:val="0"/>
              <w:marTop w:val="0"/>
              <w:marBottom w:val="225"/>
              <w:divBdr>
                <w:top w:val="none" w:sz="0" w:space="0" w:color="auto"/>
                <w:left w:val="none" w:sz="0" w:space="0" w:color="auto"/>
                <w:bottom w:val="none" w:sz="0" w:space="0" w:color="auto"/>
                <w:right w:val="none" w:sz="0" w:space="0" w:color="auto"/>
              </w:divBdr>
              <w:divsChild>
                <w:div w:id="1253858870">
                  <w:marLeft w:val="0"/>
                  <w:marRight w:val="540"/>
                  <w:marTop w:val="0"/>
                  <w:marBottom w:val="0"/>
                  <w:divBdr>
                    <w:top w:val="none" w:sz="0" w:space="0" w:color="auto"/>
                    <w:left w:val="none" w:sz="0" w:space="0" w:color="auto"/>
                    <w:bottom w:val="none" w:sz="0" w:space="0" w:color="auto"/>
                    <w:right w:val="none" w:sz="0" w:space="0" w:color="auto"/>
                  </w:divBdr>
                  <w:divsChild>
                    <w:div w:id="445083120">
                      <w:marLeft w:val="0"/>
                      <w:marRight w:val="0"/>
                      <w:marTop w:val="15"/>
                      <w:marBottom w:val="15"/>
                      <w:divBdr>
                        <w:top w:val="none" w:sz="0" w:space="0" w:color="auto"/>
                        <w:left w:val="none" w:sz="0" w:space="0" w:color="auto"/>
                        <w:bottom w:val="none" w:sz="0" w:space="0" w:color="auto"/>
                        <w:right w:val="none" w:sz="0" w:space="0" w:color="auto"/>
                      </w:divBdr>
                      <w:divsChild>
                        <w:div w:id="1451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69943">
          <w:marLeft w:val="0"/>
          <w:marRight w:val="0"/>
          <w:marTop w:val="0"/>
          <w:marBottom w:val="0"/>
          <w:divBdr>
            <w:top w:val="none" w:sz="0" w:space="0" w:color="auto"/>
            <w:left w:val="none" w:sz="0" w:space="0" w:color="auto"/>
            <w:bottom w:val="none" w:sz="0" w:space="0" w:color="auto"/>
            <w:right w:val="none" w:sz="0" w:space="0" w:color="auto"/>
          </w:divBdr>
          <w:divsChild>
            <w:div w:id="74399510">
              <w:marLeft w:val="0"/>
              <w:marRight w:val="0"/>
              <w:marTop w:val="0"/>
              <w:marBottom w:val="225"/>
              <w:divBdr>
                <w:top w:val="none" w:sz="0" w:space="0" w:color="auto"/>
                <w:left w:val="none" w:sz="0" w:space="0" w:color="auto"/>
                <w:bottom w:val="none" w:sz="0" w:space="0" w:color="auto"/>
                <w:right w:val="none" w:sz="0" w:space="0" w:color="auto"/>
              </w:divBdr>
              <w:divsChild>
                <w:div w:id="1227109063">
                  <w:marLeft w:val="0"/>
                  <w:marRight w:val="540"/>
                  <w:marTop w:val="0"/>
                  <w:marBottom w:val="0"/>
                  <w:divBdr>
                    <w:top w:val="none" w:sz="0" w:space="0" w:color="auto"/>
                    <w:left w:val="none" w:sz="0" w:space="0" w:color="auto"/>
                    <w:bottom w:val="none" w:sz="0" w:space="0" w:color="auto"/>
                    <w:right w:val="none" w:sz="0" w:space="0" w:color="auto"/>
                  </w:divBdr>
                  <w:divsChild>
                    <w:div w:id="642000190">
                      <w:marLeft w:val="0"/>
                      <w:marRight w:val="0"/>
                      <w:marTop w:val="15"/>
                      <w:marBottom w:val="15"/>
                      <w:divBdr>
                        <w:top w:val="none" w:sz="0" w:space="0" w:color="auto"/>
                        <w:left w:val="none" w:sz="0" w:space="0" w:color="auto"/>
                        <w:bottom w:val="none" w:sz="0" w:space="0" w:color="auto"/>
                        <w:right w:val="none" w:sz="0" w:space="0" w:color="auto"/>
                      </w:divBdr>
                      <w:divsChild>
                        <w:div w:id="2547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98002">
          <w:marLeft w:val="0"/>
          <w:marRight w:val="0"/>
          <w:marTop w:val="0"/>
          <w:marBottom w:val="0"/>
          <w:divBdr>
            <w:top w:val="none" w:sz="0" w:space="0" w:color="auto"/>
            <w:left w:val="none" w:sz="0" w:space="0" w:color="auto"/>
            <w:bottom w:val="none" w:sz="0" w:space="0" w:color="auto"/>
            <w:right w:val="none" w:sz="0" w:space="0" w:color="auto"/>
          </w:divBdr>
          <w:divsChild>
            <w:div w:id="1956324109">
              <w:marLeft w:val="0"/>
              <w:marRight w:val="0"/>
              <w:marTop w:val="0"/>
              <w:marBottom w:val="225"/>
              <w:divBdr>
                <w:top w:val="none" w:sz="0" w:space="0" w:color="auto"/>
                <w:left w:val="none" w:sz="0" w:space="0" w:color="auto"/>
                <w:bottom w:val="none" w:sz="0" w:space="0" w:color="auto"/>
                <w:right w:val="none" w:sz="0" w:space="0" w:color="auto"/>
              </w:divBdr>
              <w:divsChild>
                <w:div w:id="1074425630">
                  <w:marLeft w:val="0"/>
                  <w:marRight w:val="540"/>
                  <w:marTop w:val="0"/>
                  <w:marBottom w:val="0"/>
                  <w:divBdr>
                    <w:top w:val="none" w:sz="0" w:space="0" w:color="auto"/>
                    <w:left w:val="none" w:sz="0" w:space="0" w:color="auto"/>
                    <w:bottom w:val="none" w:sz="0" w:space="0" w:color="auto"/>
                    <w:right w:val="none" w:sz="0" w:space="0" w:color="auto"/>
                  </w:divBdr>
                  <w:divsChild>
                    <w:div w:id="1494905946">
                      <w:marLeft w:val="0"/>
                      <w:marRight w:val="0"/>
                      <w:marTop w:val="15"/>
                      <w:marBottom w:val="15"/>
                      <w:divBdr>
                        <w:top w:val="none" w:sz="0" w:space="0" w:color="auto"/>
                        <w:left w:val="none" w:sz="0" w:space="0" w:color="auto"/>
                        <w:bottom w:val="none" w:sz="0" w:space="0" w:color="auto"/>
                        <w:right w:val="none" w:sz="0" w:space="0" w:color="auto"/>
                      </w:divBdr>
                      <w:divsChild>
                        <w:div w:id="15373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664131">
          <w:marLeft w:val="0"/>
          <w:marRight w:val="0"/>
          <w:marTop w:val="0"/>
          <w:marBottom w:val="0"/>
          <w:divBdr>
            <w:top w:val="none" w:sz="0" w:space="0" w:color="auto"/>
            <w:left w:val="none" w:sz="0" w:space="0" w:color="auto"/>
            <w:bottom w:val="none" w:sz="0" w:space="0" w:color="auto"/>
            <w:right w:val="none" w:sz="0" w:space="0" w:color="auto"/>
          </w:divBdr>
          <w:divsChild>
            <w:div w:id="1276131462">
              <w:marLeft w:val="0"/>
              <w:marRight w:val="0"/>
              <w:marTop w:val="0"/>
              <w:marBottom w:val="225"/>
              <w:divBdr>
                <w:top w:val="none" w:sz="0" w:space="0" w:color="auto"/>
                <w:left w:val="none" w:sz="0" w:space="0" w:color="auto"/>
                <w:bottom w:val="none" w:sz="0" w:space="0" w:color="auto"/>
                <w:right w:val="none" w:sz="0" w:space="0" w:color="auto"/>
              </w:divBdr>
              <w:divsChild>
                <w:div w:id="898857964">
                  <w:marLeft w:val="0"/>
                  <w:marRight w:val="540"/>
                  <w:marTop w:val="0"/>
                  <w:marBottom w:val="0"/>
                  <w:divBdr>
                    <w:top w:val="none" w:sz="0" w:space="0" w:color="auto"/>
                    <w:left w:val="none" w:sz="0" w:space="0" w:color="auto"/>
                    <w:bottom w:val="none" w:sz="0" w:space="0" w:color="auto"/>
                    <w:right w:val="none" w:sz="0" w:space="0" w:color="auto"/>
                  </w:divBdr>
                  <w:divsChild>
                    <w:div w:id="761335897">
                      <w:marLeft w:val="0"/>
                      <w:marRight w:val="0"/>
                      <w:marTop w:val="15"/>
                      <w:marBottom w:val="15"/>
                      <w:divBdr>
                        <w:top w:val="none" w:sz="0" w:space="0" w:color="auto"/>
                        <w:left w:val="none" w:sz="0" w:space="0" w:color="auto"/>
                        <w:bottom w:val="none" w:sz="0" w:space="0" w:color="auto"/>
                        <w:right w:val="none" w:sz="0" w:space="0" w:color="auto"/>
                      </w:divBdr>
                      <w:divsChild>
                        <w:div w:id="16166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311990">
      <w:bodyDiv w:val="1"/>
      <w:marLeft w:val="0"/>
      <w:marRight w:val="0"/>
      <w:marTop w:val="0"/>
      <w:marBottom w:val="0"/>
      <w:divBdr>
        <w:top w:val="none" w:sz="0" w:space="0" w:color="auto"/>
        <w:left w:val="none" w:sz="0" w:space="0" w:color="auto"/>
        <w:bottom w:val="none" w:sz="0" w:space="0" w:color="auto"/>
        <w:right w:val="none" w:sz="0" w:space="0" w:color="auto"/>
      </w:divBdr>
      <w:divsChild>
        <w:div w:id="1235385628">
          <w:marLeft w:val="0"/>
          <w:marRight w:val="0"/>
          <w:marTop w:val="0"/>
          <w:marBottom w:val="0"/>
          <w:divBdr>
            <w:top w:val="none" w:sz="0" w:space="0" w:color="auto"/>
            <w:left w:val="none" w:sz="0" w:space="0" w:color="auto"/>
            <w:bottom w:val="none" w:sz="0" w:space="0" w:color="auto"/>
            <w:right w:val="none" w:sz="0" w:space="0" w:color="auto"/>
          </w:divBdr>
          <w:divsChild>
            <w:div w:id="1200166358">
              <w:marLeft w:val="0"/>
              <w:marRight w:val="0"/>
              <w:marTop w:val="0"/>
              <w:marBottom w:val="225"/>
              <w:divBdr>
                <w:top w:val="none" w:sz="0" w:space="0" w:color="auto"/>
                <w:left w:val="none" w:sz="0" w:space="0" w:color="auto"/>
                <w:bottom w:val="none" w:sz="0" w:space="0" w:color="auto"/>
                <w:right w:val="none" w:sz="0" w:space="0" w:color="auto"/>
              </w:divBdr>
              <w:divsChild>
                <w:div w:id="108747741">
                  <w:marLeft w:val="0"/>
                  <w:marRight w:val="540"/>
                  <w:marTop w:val="0"/>
                  <w:marBottom w:val="0"/>
                  <w:divBdr>
                    <w:top w:val="none" w:sz="0" w:space="0" w:color="auto"/>
                    <w:left w:val="none" w:sz="0" w:space="0" w:color="auto"/>
                    <w:bottom w:val="none" w:sz="0" w:space="0" w:color="auto"/>
                    <w:right w:val="none" w:sz="0" w:space="0" w:color="auto"/>
                  </w:divBdr>
                  <w:divsChild>
                    <w:div w:id="1963345595">
                      <w:marLeft w:val="0"/>
                      <w:marRight w:val="0"/>
                      <w:marTop w:val="15"/>
                      <w:marBottom w:val="15"/>
                      <w:divBdr>
                        <w:top w:val="none" w:sz="0" w:space="0" w:color="auto"/>
                        <w:left w:val="none" w:sz="0" w:space="0" w:color="auto"/>
                        <w:bottom w:val="none" w:sz="0" w:space="0" w:color="auto"/>
                        <w:right w:val="none" w:sz="0" w:space="0" w:color="auto"/>
                      </w:divBdr>
                      <w:divsChild>
                        <w:div w:id="2966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176976">
          <w:marLeft w:val="0"/>
          <w:marRight w:val="0"/>
          <w:marTop w:val="0"/>
          <w:marBottom w:val="0"/>
          <w:divBdr>
            <w:top w:val="none" w:sz="0" w:space="0" w:color="auto"/>
            <w:left w:val="none" w:sz="0" w:space="0" w:color="auto"/>
            <w:bottom w:val="none" w:sz="0" w:space="0" w:color="auto"/>
            <w:right w:val="none" w:sz="0" w:space="0" w:color="auto"/>
          </w:divBdr>
          <w:divsChild>
            <w:div w:id="1023166813">
              <w:marLeft w:val="0"/>
              <w:marRight w:val="0"/>
              <w:marTop w:val="0"/>
              <w:marBottom w:val="225"/>
              <w:divBdr>
                <w:top w:val="none" w:sz="0" w:space="0" w:color="auto"/>
                <w:left w:val="none" w:sz="0" w:space="0" w:color="auto"/>
                <w:bottom w:val="none" w:sz="0" w:space="0" w:color="auto"/>
                <w:right w:val="none" w:sz="0" w:space="0" w:color="auto"/>
              </w:divBdr>
              <w:divsChild>
                <w:div w:id="648436060">
                  <w:marLeft w:val="0"/>
                  <w:marRight w:val="540"/>
                  <w:marTop w:val="0"/>
                  <w:marBottom w:val="0"/>
                  <w:divBdr>
                    <w:top w:val="none" w:sz="0" w:space="0" w:color="auto"/>
                    <w:left w:val="none" w:sz="0" w:space="0" w:color="auto"/>
                    <w:bottom w:val="none" w:sz="0" w:space="0" w:color="auto"/>
                    <w:right w:val="none" w:sz="0" w:space="0" w:color="auto"/>
                  </w:divBdr>
                  <w:divsChild>
                    <w:div w:id="896865296">
                      <w:marLeft w:val="0"/>
                      <w:marRight w:val="0"/>
                      <w:marTop w:val="15"/>
                      <w:marBottom w:val="15"/>
                      <w:divBdr>
                        <w:top w:val="none" w:sz="0" w:space="0" w:color="auto"/>
                        <w:left w:val="none" w:sz="0" w:space="0" w:color="auto"/>
                        <w:bottom w:val="none" w:sz="0" w:space="0" w:color="auto"/>
                        <w:right w:val="none" w:sz="0" w:space="0" w:color="auto"/>
                      </w:divBdr>
                      <w:divsChild>
                        <w:div w:id="14236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85055">
          <w:marLeft w:val="0"/>
          <w:marRight w:val="0"/>
          <w:marTop w:val="0"/>
          <w:marBottom w:val="0"/>
          <w:divBdr>
            <w:top w:val="none" w:sz="0" w:space="0" w:color="auto"/>
            <w:left w:val="none" w:sz="0" w:space="0" w:color="auto"/>
            <w:bottom w:val="none" w:sz="0" w:space="0" w:color="auto"/>
            <w:right w:val="none" w:sz="0" w:space="0" w:color="auto"/>
          </w:divBdr>
          <w:divsChild>
            <w:div w:id="973095364">
              <w:marLeft w:val="0"/>
              <w:marRight w:val="0"/>
              <w:marTop w:val="0"/>
              <w:marBottom w:val="225"/>
              <w:divBdr>
                <w:top w:val="none" w:sz="0" w:space="0" w:color="auto"/>
                <w:left w:val="none" w:sz="0" w:space="0" w:color="auto"/>
                <w:bottom w:val="none" w:sz="0" w:space="0" w:color="auto"/>
                <w:right w:val="none" w:sz="0" w:space="0" w:color="auto"/>
              </w:divBdr>
              <w:divsChild>
                <w:div w:id="1235359900">
                  <w:marLeft w:val="0"/>
                  <w:marRight w:val="540"/>
                  <w:marTop w:val="0"/>
                  <w:marBottom w:val="0"/>
                  <w:divBdr>
                    <w:top w:val="none" w:sz="0" w:space="0" w:color="auto"/>
                    <w:left w:val="none" w:sz="0" w:space="0" w:color="auto"/>
                    <w:bottom w:val="none" w:sz="0" w:space="0" w:color="auto"/>
                    <w:right w:val="none" w:sz="0" w:space="0" w:color="auto"/>
                  </w:divBdr>
                  <w:divsChild>
                    <w:div w:id="1632899365">
                      <w:marLeft w:val="0"/>
                      <w:marRight w:val="0"/>
                      <w:marTop w:val="15"/>
                      <w:marBottom w:val="15"/>
                      <w:divBdr>
                        <w:top w:val="none" w:sz="0" w:space="0" w:color="auto"/>
                        <w:left w:val="none" w:sz="0" w:space="0" w:color="auto"/>
                        <w:bottom w:val="none" w:sz="0" w:space="0" w:color="auto"/>
                        <w:right w:val="none" w:sz="0" w:space="0" w:color="auto"/>
                      </w:divBdr>
                      <w:divsChild>
                        <w:div w:id="9004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32608">
          <w:marLeft w:val="0"/>
          <w:marRight w:val="0"/>
          <w:marTop w:val="0"/>
          <w:marBottom w:val="0"/>
          <w:divBdr>
            <w:top w:val="none" w:sz="0" w:space="0" w:color="auto"/>
            <w:left w:val="none" w:sz="0" w:space="0" w:color="auto"/>
            <w:bottom w:val="none" w:sz="0" w:space="0" w:color="auto"/>
            <w:right w:val="none" w:sz="0" w:space="0" w:color="auto"/>
          </w:divBdr>
          <w:divsChild>
            <w:div w:id="727799039">
              <w:marLeft w:val="0"/>
              <w:marRight w:val="0"/>
              <w:marTop w:val="0"/>
              <w:marBottom w:val="225"/>
              <w:divBdr>
                <w:top w:val="none" w:sz="0" w:space="0" w:color="auto"/>
                <w:left w:val="none" w:sz="0" w:space="0" w:color="auto"/>
                <w:bottom w:val="none" w:sz="0" w:space="0" w:color="auto"/>
                <w:right w:val="none" w:sz="0" w:space="0" w:color="auto"/>
              </w:divBdr>
              <w:divsChild>
                <w:div w:id="972514676">
                  <w:marLeft w:val="0"/>
                  <w:marRight w:val="540"/>
                  <w:marTop w:val="0"/>
                  <w:marBottom w:val="0"/>
                  <w:divBdr>
                    <w:top w:val="none" w:sz="0" w:space="0" w:color="auto"/>
                    <w:left w:val="none" w:sz="0" w:space="0" w:color="auto"/>
                    <w:bottom w:val="none" w:sz="0" w:space="0" w:color="auto"/>
                    <w:right w:val="none" w:sz="0" w:space="0" w:color="auto"/>
                  </w:divBdr>
                  <w:divsChild>
                    <w:div w:id="1077290435">
                      <w:marLeft w:val="0"/>
                      <w:marRight w:val="0"/>
                      <w:marTop w:val="15"/>
                      <w:marBottom w:val="15"/>
                      <w:divBdr>
                        <w:top w:val="none" w:sz="0" w:space="0" w:color="auto"/>
                        <w:left w:val="none" w:sz="0" w:space="0" w:color="auto"/>
                        <w:bottom w:val="none" w:sz="0" w:space="0" w:color="auto"/>
                        <w:right w:val="none" w:sz="0" w:space="0" w:color="auto"/>
                      </w:divBdr>
                      <w:divsChild>
                        <w:div w:id="94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296177">
          <w:marLeft w:val="0"/>
          <w:marRight w:val="0"/>
          <w:marTop w:val="0"/>
          <w:marBottom w:val="0"/>
          <w:divBdr>
            <w:top w:val="none" w:sz="0" w:space="0" w:color="auto"/>
            <w:left w:val="none" w:sz="0" w:space="0" w:color="auto"/>
            <w:bottom w:val="none" w:sz="0" w:space="0" w:color="auto"/>
            <w:right w:val="none" w:sz="0" w:space="0" w:color="auto"/>
          </w:divBdr>
          <w:divsChild>
            <w:div w:id="1896159479">
              <w:marLeft w:val="0"/>
              <w:marRight w:val="0"/>
              <w:marTop w:val="0"/>
              <w:marBottom w:val="225"/>
              <w:divBdr>
                <w:top w:val="none" w:sz="0" w:space="0" w:color="auto"/>
                <w:left w:val="none" w:sz="0" w:space="0" w:color="auto"/>
                <w:bottom w:val="none" w:sz="0" w:space="0" w:color="auto"/>
                <w:right w:val="none" w:sz="0" w:space="0" w:color="auto"/>
              </w:divBdr>
              <w:divsChild>
                <w:div w:id="2103255959">
                  <w:marLeft w:val="0"/>
                  <w:marRight w:val="540"/>
                  <w:marTop w:val="0"/>
                  <w:marBottom w:val="0"/>
                  <w:divBdr>
                    <w:top w:val="none" w:sz="0" w:space="0" w:color="auto"/>
                    <w:left w:val="none" w:sz="0" w:space="0" w:color="auto"/>
                    <w:bottom w:val="none" w:sz="0" w:space="0" w:color="auto"/>
                    <w:right w:val="none" w:sz="0" w:space="0" w:color="auto"/>
                  </w:divBdr>
                  <w:divsChild>
                    <w:div w:id="1458454212">
                      <w:marLeft w:val="0"/>
                      <w:marRight w:val="0"/>
                      <w:marTop w:val="15"/>
                      <w:marBottom w:val="15"/>
                      <w:divBdr>
                        <w:top w:val="none" w:sz="0" w:space="0" w:color="auto"/>
                        <w:left w:val="none" w:sz="0" w:space="0" w:color="auto"/>
                        <w:bottom w:val="none" w:sz="0" w:space="0" w:color="auto"/>
                        <w:right w:val="none" w:sz="0" w:space="0" w:color="auto"/>
                      </w:divBdr>
                      <w:divsChild>
                        <w:div w:id="15563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396">
          <w:marLeft w:val="0"/>
          <w:marRight w:val="0"/>
          <w:marTop w:val="0"/>
          <w:marBottom w:val="0"/>
          <w:divBdr>
            <w:top w:val="none" w:sz="0" w:space="0" w:color="auto"/>
            <w:left w:val="none" w:sz="0" w:space="0" w:color="auto"/>
            <w:bottom w:val="none" w:sz="0" w:space="0" w:color="auto"/>
            <w:right w:val="none" w:sz="0" w:space="0" w:color="auto"/>
          </w:divBdr>
          <w:divsChild>
            <w:div w:id="42563512">
              <w:marLeft w:val="0"/>
              <w:marRight w:val="0"/>
              <w:marTop w:val="0"/>
              <w:marBottom w:val="225"/>
              <w:divBdr>
                <w:top w:val="none" w:sz="0" w:space="0" w:color="auto"/>
                <w:left w:val="none" w:sz="0" w:space="0" w:color="auto"/>
                <w:bottom w:val="none" w:sz="0" w:space="0" w:color="auto"/>
                <w:right w:val="none" w:sz="0" w:space="0" w:color="auto"/>
              </w:divBdr>
              <w:divsChild>
                <w:div w:id="111944249">
                  <w:marLeft w:val="0"/>
                  <w:marRight w:val="540"/>
                  <w:marTop w:val="0"/>
                  <w:marBottom w:val="0"/>
                  <w:divBdr>
                    <w:top w:val="none" w:sz="0" w:space="0" w:color="auto"/>
                    <w:left w:val="none" w:sz="0" w:space="0" w:color="auto"/>
                    <w:bottom w:val="none" w:sz="0" w:space="0" w:color="auto"/>
                    <w:right w:val="none" w:sz="0" w:space="0" w:color="auto"/>
                  </w:divBdr>
                  <w:divsChild>
                    <w:div w:id="1431775922">
                      <w:marLeft w:val="0"/>
                      <w:marRight w:val="0"/>
                      <w:marTop w:val="15"/>
                      <w:marBottom w:val="15"/>
                      <w:divBdr>
                        <w:top w:val="none" w:sz="0" w:space="0" w:color="auto"/>
                        <w:left w:val="none" w:sz="0" w:space="0" w:color="auto"/>
                        <w:bottom w:val="none" w:sz="0" w:space="0" w:color="auto"/>
                        <w:right w:val="none" w:sz="0" w:space="0" w:color="auto"/>
                      </w:divBdr>
                      <w:divsChild>
                        <w:div w:id="11603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44600">
          <w:marLeft w:val="0"/>
          <w:marRight w:val="0"/>
          <w:marTop w:val="0"/>
          <w:marBottom w:val="0"/>
          <w:divBdr>
            <w:top w:val="none" w:sz="0" w:space="0" w:color="auto"/>
            <w:left w:val="none" w:sz="0" w:space="0" w:color="auto"/>
            <w:bottom w:val="none" w:sz="0" w:space="0" w:color="auto"/>
            <w:right w:val="none" w:sz="0" w:space="0" w:color="auto"/>
          </w:divBdr>
          <w:divsChild>
            <w:div w:id="1442873101">
              <w:marLeft w:val="0"/>
              <w:marRight w:val="0"/>
              <w:marTop w:val="0"/>
              <w:marBottom w:val="225"/>
              <w:divBdr>
                <w:top w:val="none" w:sz="0" w:space="0" w:color="auto"/>
                <w:left w:val="none" w:sz="0" w:space="0" w:color="auto"/>
                <w:bottom w:val="none" w:sz="0" w:space="0" w:color="auto"/>
                <w:right w:val="none" w:sz="0" w:space="0" w:color="auto"/>
              </w:divBdr>
              <w:divsChild>
                <w:div w:id="352000044">
                  <w:marLeft w:val="0"/>
                  <w:marRight w:val="540"/>
                  <w:marTop w:val="0"/>
                  <w:marBottom w:val="0"/>
                  <w:divBdr>
                    <w:top w:val="none" w:sz="0" w:space="0" w:color="auto"/>
                    <w:left w:val="none" w:sz="0" w:space="0" w:color="auto"/>
                    <w:bottom w:val="none" w:sz="0" w:space="0" w:color="auto"/>
                    <w:right w:val="none" w:sz="0" w:space="0" w:color="auto"/>
                  </w:divBdr>
                  <w:divsChild>
                    <w:div w:id="326325281">
                      <w:marLeft w:val="0"/>
                      <w:marRight w:val="0"/>
                      <w:marTop w:val="15"/>
                      <w:marBottom w:val="15"/>
                      <w:divBdr>
                        <w:top w:val="none" w:sz="0" w:space="0" w:color="auto"/>
                        <w:left w:val="none" w:sz="0" w:space="0" w:color="auto"/>
                        <w:bottom w:val="none" w:sz="0" w:space="0" w:color="auto"/>
                        <w:right w:val="none" w:sz="0" w:space="0" w:color="auto"/>
                      </w:divBdr>
                      <w:divsChild>
                        <w:div w:id="11092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537176">
          <w:marLeft w:val="0"/>
          <w:marRight w:val="0"/>
          <w:marTop w:val="0"/>
          <w:marBottom w:val="0"/>
          <w:divBdr>
            <w:top w:val="none" w:sz="0" w:space="0" w:color="auto"/>
            <w:left w:val="none" w:sz="0" w:space="0" w:color="auto"/>
            <w:bottom w:val="none" w:sz="0" w:space="0" w:color="auto"/>
            <w:right w:val="none" w:sz="0" w:space="0" w:color="auto"/>
          </w:divBdr>
          <w:divsChild>
            <w:div w:id="1031416137">
              <w:marLeft w:val="0"/>
              <w:marRight w:val="0"/>
              <w:marTop w:val="0"/>
              <w:marBottom w:val="225"/>
              <w:divBdr>
                <w:top w:val="none" w:sz="0" w:space="0" w:color="auto"/>
                <w:left w:val="none" w:sz="0" w:space="0" w:color="auto"/>
                <w:bottom w:val="none" w:sz="0" w:space="0" w:color="auto"/>
                <w:right w:val="none" w:sz="0" w:space="0" w:color="auto"/>
              </w:divBdr>
              <w:divsChild>
                <w:div w:id="2085833451">
                  <w:marLeft w:val="0"/>
                  <w:marRight w:val="540"/>
                  <w:marTop w:val="0"/>
                  <w:marBottom w:val="0"/>
                  <w:divBdr>
                    <w:top w:val="none" w:sz="0" w:space="0" w:color="auto"/>
                    <w:left w:val="none" w:sz="0" w:space="0" w:color="auto"/>
                    <w:bottom w:val="none" w:sz="0" w:space="0" w:color="auto"/>
                    <w:right w:val="none" w:sz="0" w:space="0" w:color="auto"/>
                  </w:divBdr>
                  <w:divsChild>
                    <w:div w:id="726105560">
                      <w:marLeft w:val="0"/>
                      <w:marRight w:val="0"/>
                      <w:marTop w:val="15"/>
                      <w:marBottom w:val="15"/>
                      <w:divBdr>
                        <w:top w:val="none" w:sz="0" w:space="0" w:color="auto"/>
                        <w:left w:val="none" w:sz="0" w:space="0" w:color="auto"/>
                        <w:bottom w:val="none" w:sz="0" w:space="0" w:color="auto"/>
                        <w:right w:val="none" w:sz="0" w:space="0" w:color="auto"/>
                      </w:divBdr>
                      <w:divsChild>
                        <w:div w:id="99707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41932">
          <w:marLeft w:val="0"/>
          <w:marRight w:val="0"/>
          <w:marTop w:val="0"/>
          <w:marBottom w:val="0"/>
          <w:divBdr>
            <w:top w:val="none" w:sz="0" w:space="0" w:color="auto"/>
            <w:left w:val="none" w:sz="0" w:space="0" w:color="auto"/>
            <w:bottom w:val="none" w:sz="0" w:space="0" w:color="auto"/>
            <w:right w:val="none" w:sz="0" w:space="0" w:color="auto"/>
          </w:divBdr>
          <w:divsChild>
            <w:div w:id="1552842082">
              <w:marLeft w:val="0"/>
              <w:marRight w:val="0"/>
              <w:marTop w:val="0"/>
              <w:marBottom w:val="225"/>
              <w:divBdr>
                <w:top w:val="none" w:sz="0" w:space="0" w:color="auto"/>
                <w:left w:val="none" w:sz="0" w:space="0" w:color="auto"/>
                <w:bottom w:val="none" w:sz="0" w:space="0" w:color="auto"/>
                <w:right w:val="none" w:sz="0" w:space="0" w:color="auto"/>
              </w:divBdr>
              <w:divsChild>
                <w:div w:id="1516580102">
                  <w:marLeft w:val="0"/>
                  <w:marRight w:val="540"/>
                  <w:marTop w:val="0"/>
                  <w:marBottom w:val="0"/>
                  <w:divBdr>
                    <w:top w:val="none" w:sz="0" w:space="0" w:color="auto"/>
                    <w:left w:val="none" w:sz="0" w:space="0" w:color="auto"/>
                    <w:bottom w:val="none" w:sz="0" w:space="0" w:color="auto"/>
                    <w:right w:val="none" w:sz="0" w:space="0" w:color="auto"/>
                  </w:divBdr>
                  <w:divsChild>
                    <w:div w:id="65148658">
                      <w:marLeft w:val="0"/>
                      <w:marRight w:val="0"/>
                      <w:marTop w:val="15"/>
                      <w:marBottom w:val="15"/>
                      <w:divBdr>
                        <w:top w:val="none" w:sz="0" w:space="0" w:color="auto"/>
                        <w:left w:val="none" w:sz="0" w:space="0" w:color="auto"/>
                        <w:bottom w:val="none" w:sz="0" w:space="0" w:color="auto"/>
                        <w:right w:val="none" w:sz="0" w:space="0" w:color="auto"/>
                      </w:divBdr>
                      <w:divsChild>
                        <w:div w:id="12623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10548</Words>
  <Characters>60128</Characters>
  <Application>Microsoft Office Word</Application>
  <DocSecurity>0</DocSecurity>
  <Lines>501</Lines>
  <Paragraphs>141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waleed</dc:creator>
  <cp:keywords/>
  <dc:description/>
  <cp:lastModifiedBy>DR.Ahmed Saker 2o1O</cp:lastModifiedBy>
  <cp:revision>11</cp:revision>
  <dcterms:created xsi:type="dcterms:W3CDTF">2018-12-14T12:34:00Z</dcterms:created>
  <dcterms:modified xsi:type="dcterms:W3CDTF">2018-12-20T06:36:00Z</dcterms:modified>
</cp:coreProperties>
</file>