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 xml:space="preserve">13-12 </w:t>
      </w:r>
      <w:proofErr w:type="gramStart"/>
      <w:r w:rsidRPr="00E56363">
        <w:rPr>
          <w:rFonts w:ascii="Times New Roman" w:hAnsi="Times New Roman" w:cs="Times New Roman"/>
          <w:b/>
          <w:bCs/>
          <w:sz w:val="28"/>
          <w:szCs w:val="28"/>
        </w:rPr>
        <w:t>Give</w:t>
      </w:r>
      <w:proofErr w:type="gramEnd"/>
      <w:r w:rsidRPr="00E56363">
        <w:rPr>
          <w:rFonts w:ascii="Times New Roman" w:hAnsi="Times New Roman" w:cs="Times New Roman"/>
          <w:b/>
          <w:bCs/>
          <w:sz w:val="28"/>
          <w:szCs w:val="28"/>
        </w:rPr>
        <w:t xml:space="preserve"> an example of how a manager can increase variable costs while decreasing fixed costs.</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Examples of decreasing fixed costs and increasing variable costs include:</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Manufacturing––subcontracting a component to a supplier on a per-unit basis to avoid purchasing a machine with a high fixed depreciation cost</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Marketing––changing a sales compensation plan from a fixed salary to percent of sales dollars basis</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Customer service––hiring a subcontractor to do customer service on a per-visit basis rather than an annual retainer basis</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 xml:space="preserve">3-12 </w:t>
      </w:r>
      <w:proofErr w:type="gramStart"/>
      <w:r w:rsidRPr="00E56363">
        <w:rPr>
          <w:rFonts w:ascii="Times New Roman" w:hAnsi="Times New Roman" w:cs="Times New Roman"/>
          <w:b/>
          <w:bCs/>
          <w:sz w:val="28"/>
          <w:szCs w:val="28"/>
        </w:rPr>
        <w:t>What</w:t>
      </w:r>
      <w:proofErr w:type="gramEnd"/>
      <w:r w:rsidRPr="00E56363">
        <w:rPr>
          <w:rFonts w:ascii="Times New Roman" w:hAnsi="Times New Roman" w:cs="Times New Roman"/>
          <w:b/>
          <w:bCs/>
          <w:sz w:val="28"/>
          <w:szCs w:val="28"/>
        </w:rPr>
        <w:t xml:space="preserve"> is operating leverage? How is </w:t>
      </w:r>
      <w:proofErr w:type="gramStart"/>
      <w:r w:rsidRPr="00E56363">
        <w:rPr>
          <w:rFonts w:ascii="Times New Roman" w:hAnsi="Times New Roman" w:cs="Times New Roman"/>
          <w:b/>
          <w:bCs/>
          <w:sz w:val="28"/>
          <w:szCs w:val="28"/>
        </w:rPr>
        <w:t>knowing</w:t>
      </w:r>
      <w:proofErr w:type="gramEnd"/>
      <w:r w:rsidRPr="00E56363">
        <w:rPr>
          <w:rFonts w:ascii="Times New Roman" w:hAnsi="Times New Roman" w:cs="Times New Roman"/>
          <w:b/>
          <w:bCs/>
          <w:sz w:val="28"/>
          <w:szCs w:val="28"/>
        </w:rPr>
        <w:t xml:space="preserve"> the degree of operating leverage helpful to managers?</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Operating leverage describes the effects that fixed costs have on changes in operating income as changes occur in units sold, and hence, in contribution margin. Knowing the degree of operating leverage at a given level of sales helps managers calculate the effect of fluctuations in sales on operating incomes.</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3-13 ―There is no such thing as a fixed cost. All costs can be ‗</w:t>
      </w:r>
      <w:proofErr w:type="gramStart"/>
      <w:r w:rsidRPr="00E56363">
        <w:rPr>
          <w:rFonts w:ascii="Times New Roman" w:hAnsi="Times New Roman" w:cs="Times New Roman"/>
          <w:b/>
          <w:bCs/>
          <w:sz w:val="28"/>
          <w:szCs w:val="28"/>
        </w:rPr>
        <w:t>unfixed‘ given</w:t>
      </w:r>
      <w:proofErr w:type="gramEnd"/>
      <w:r w:rsidRPr="00E56363">
        <w:rPr>
          <w:rFonts w:ascii="Times New Roman" w:hAnsi="Times New Roman" w:cs="Times New Roman"/>
          <w:b/>
          <w:bCs/>
          <w:sz w:val="28"/>
          <w:szCs w:val="28"/>
        </w:rPr>
        <w:t xml:space="preserve"> sufficient time.‖ Do you agree? What is the implication of your answer for CVP analysis?</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 xml:space="preserve">CVP analysis is always conducted for a specified time horizon. One extreme is a very short-time horizon. For example, some vacation cruises offer deep price discounts for people who offer to take any cruise on a day‘s notice. One day prior to a cruise, most costs are fixed. The other extreme is several years. Here, a much higher percentage of total costs typically </w:t>
      </w:r>
      <w:proofErr w:type="gramStart"/>
      <w:r w:rsidRPr="00E56363">
        <w:rPr>
          <w:rFonts w:ascii="Times New Roman" w:hAnsi="Times New Roman" w:cs="Times New Roman"/>
          <w:b/>
          <w:bCs/>
          <w:sz w:val="28"/>
          <w:szCs w:val="28"/>
        </w:rPr>
        <w:t>is</w:t>
      </w:r>
      <w:proofErr w:type="gramEnd"/>
      <w:r w:rsidRPr="00E56363">
        <w:rPr>
          <w:rFonts w:ascii="Times New Roman" w:hAnsi="Times New Roman" w:cs="Times New Roman"/>
          <w:b/>
          <w:bCs/>
          <w:sz w:val="28"/>
          <w:szCs w:val="28"/>
        </w:rPr>
        <w:t xml:space="preserve"> variable.</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CVP itself is not made any less relevant when the time horizon lengthens but many items classified as fixed in the short run may become variable costs with a longer time horizon.</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 xml:space="preserve">3-14 </w:t>
      </w:r>
      <w:proofErr w:type="gramStart"/>
      <w:r w:rsidRPr="00E56363">
        <w:rPr>
          <w:rFonts w:ascii="Times New Roman" w:hAnsi="Times New Roman" w:cs="Times New Roman"/>
          <w:b/>
          <w:bCs/>
          <w:sz w:val="28"/>
          <w:szCs w:val="28"/>
        </w:rPr>
        <w:t>How</w:t>
      </w:r>
      <w:proofErr w:type="gramEnd"/>
      <w:r w:rsidRPr="00E56363">
        <w:rPr>
          <w:rFonts w:ascii="Times New Roman" w:hAnsi="Times New Roman" w:cs="Times New Roman"/>
          <w:b/>
          <w:bCs/>
          <w:sz w:val="28"/>
          <w:szCs w:val="28"/>
        </w:rPr>
        <w:t xml:space="preserve"> can a company with multiple products compute its breakeven point?</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A company with multiple products can compute a breakeven point by assuming there is a constant sales mix of products at different levels of total revenue.</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3-15 ―In CVP analysis, gross margin is a less-useful concept than contribution margin.‖ Do you agree? Explain briefly.</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Yes, gross margin calculations emphasize the distinction between manufacturing and nonmanufacturing costs (gross margins are calculated after subtracting variable and fixed manufacturing costs). Contribution margin calculations emphasize the distinction between fixed and variable costs. Hence, contribution margin is a more useful concept than gross margin in CVP analysis.</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 xml:space="preserve">3-16 Jack‘s </w:t>
      </w:r>
      <w:proofErr w:type="spellStart"/>
      <w:r w:rsidRPr="00E56363">
        <w:rPr>
          <w:rFonts w:ascii="Times New Roman" w:hAnsi="Times New Roman" w:cs="Times New Roman"/>
          <w:b/>
          <w:bCs/>
          <w:sz w:val="28"/>
          <w:szCs w:val="28"/>
        </w:rPr>
        <w:t>Jax</w:t>
      </w:r>
      <w:proofErr w:type="spellEnd"/>
      <w:r w:rsidRPr="00E56363">
        <w:rPr>
          <w:rFonts w:ascii="Times New Roman" w:hAnsi="Times New Roman" w:cs="Times New Roman"/>
          <w:b/>
          <w:bCs/>
          <w:sz w:val="28"/>
          <w:szCs w:val="28"/>
        </w:rPr>
        <w:t xml:space="preserve"> has total fixed costs of $25,000. If the company‘s contribution margin is 60%, the income tax rate is 25% and the selling price of a box of </w:t>
      </w:r>
      <w:proofErr w:type="spellStart"/>
      <w:r w:rsidRPr="00E56363">
        <w:rPr>
          <w:rFonts w:ascii="Times New Roman" w:hAnsi="Times New Roman" w:cs="Times New Roman"/>
          <w:b/>
          <w:bCs/>
          <w:sz w:val="28"/>
          <w:szCs w:val="28"/>
        </w:rPr>
        <w:lastRenderedPageBreak/>
        <w:t>Jax</w:t>
      </w:r>
      <w:proofErr w:type="spellEnd"/>
      <w:r w:rsidRPr="00E56363">
        <w:rPr>
          <w:rFonts w:ascii="Times New Roman" w:hAnsi="Times New Roman" w:cs="Times New Roman"/>
          <w:b/>
          <w:bCs/>
          <w:sz w:val="28"/>
          <w:szCs w:val="28"/>
        </w:rPr>
        <w:t xml:space="preserve"> is $20, how many boxes of </w:t>
      </w:r>
      <w:proofErr w:type="spellStart"/>
      <w:r w:rsidRPr="00E56363">
        <w:rPr>
          <w:rFonts w:ascii="Times New Roman" w:hAnsi="Times New Roman" w:cs="Times New Roman"/>
          <w:b/>
          <w:bCs/>
          <w:sz w:val="28"/>
          <w:szCs w:val="28"/>
        </w:rPr>
        <w:t>Jax</w:t>
      </w:r>
      <w:proofErr w:type="spellEnd"/>
      <w:r w:rsidRPr="00E56363">
        <w:rPr>
          <w:rFonts w:ascii="Times New Roman" w:hAnsi="Times New Roman" w:cs="Times New Roman"/>
          <w:b/>
          <w:bCs/>
          <w:sz w:val="28"/>
          <w:szCs w:val="28"/>
        </w:rPr>
        <w:t xml:space="preserve"> would the company need to sell to produce a net income of $15,000?</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a. 5,625 b. 4,445</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c. 3,750 d. 3,333</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SOLUTION</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Choice "c" is correct. The number of boxes needed to be sold is calculated as follows:</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Selling Price per box: $20 per box</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Contribution % = 60%</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Contribution margin per box: 60% × $20 = $12 per box</w:t>
      </w:r>
    </w:p>
    <w:p w:rsidR="00E56363" w:rsidRPr="00E56363" w:rsidRDefault="00E56363" w:rsidP="00E56363">
      <w:pPr>
        <w:autoSpaceDE w:val="0"/>
        <w:autoSpaceDN w:val="0"/>
        <w:bidi w:val="0"/>
        <w:adjustRightInd w:val="0"/>
        <w:spacing w:after="0" w:line="240" w:lineRule="auto"/>
        <w:ind w:right="-1050"/>
        <w:rPr>
          <w:rFonts w:ascii="Times New Roman" w:hAnsi="Times New Roman" w:cs="Times New Roman"/>
          <w:b/>
          <w:bCs/>
          <w:sz w:val="28"/>
          <w:szCs w:val="28"/>
        </w:rPr>
      </w:pPr>
      <w:r w:rsidRPr="00E56363">
        <w:rPr>
          <w:rFonts w:ascii="Times New Roman" w:hAnsi="Times New Roman" w:cs="Times New Roman"/>
          <w:b/>
          <w:bCs/>
          <w:sz w:val="28"/>
          <w:szCs w:val="28"/>
        </w:rPr>
        <w:t>Fixed costs: $25,000</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Income after tax: $15,000</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Tax rate: 25%</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 xml:space="preserve">Operating income before tax: $15,000 </w:t>
      </w:r>
      <w:r w:rsidRPr="00E56363">
        <w:rPr>
          <w:rFonts w:ascii="Cambria Math" w:hAnsi="Cambria Math" w:cs="Cambria Math"/>
          <w:b/>
          <w:bCs/>
          <w:sz w:val="28"/>
          <w:szCs w:val="28"/>
        </w:rPr>
        <w:t xml:space="preserve">÷ </w:t>
      </w:r>
      <w:r w:rsidRPr="00E56363">
        <w:rPr>
          <w:rFonts w:ascii="Times New Roman" w:hAnsi="Times New Roman" w:cs="Times New Roman"/>
          <w:b/>
          <w:bCs/>
          <w:sz w:val="28"/>
          <w:szCs w:val="28"/>
        </w:rPr>
        <w:t xml:space="preserve">(1 </w:t>
      </w:r>
      <w:r w:rsidRPr="00E56363">
        <w:rPr>
          <w:rFonts w:ascii="Cambria Math" w:hAnsi="Cambria Math" w:cs="Cambria Math"/>
          <w:b/>
          <w:bCs/>
          <w:sz w:val="28"/>
          <w:szCs w:val="28"/>
        </w:rPr>
        <w:t xml:space="preserve">– </w:t>
      </w:r>
      <w:r w:rsidRPr="00E56363">
        <w:rPr>
          <w:rFonts w:ascii="Times New Roman" w:hAnsi="Times New Roman" w:cs="Times New Roman"/>
          <w:b/>
          <w:bCs/>
          <w:sz w:val="28"/>
          <w:szCs w:val="28"/>
        </w:rPr>
        <w:t xml:space="preserve">0.25) = $15,000 </w:t>
      </w:r>
      <w:r w:rsidRPr="00E56363">
        <w:rPr>
          <w:rFonts w:ascii="Cambria Math" w:hAnsi="Cambria Math" w:cs="Cambria Math"/>
          <w:b/>
          <w:bCs/>
          <w:sz w:val="28"/>
          <w:szCs w:val="28"/>
        </w:rPr>
        <w:t xml:space="preserve">÷ </w:t>
      </w:r>
      <w:r w:rsidRPr="00E56363">
        <w:rPr>
          <w:rFonts w:ascii="Times New Roman" w:hAnsi="Times New Roman" w:cs="Times New Roman"/>
          <w:b/>
          <w:bCs/>
          <w:sz w:val="28"/>
          <w:szCs w:val="28"/>
        </w:rPr>
        <w:t>0.75 = $20,000</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Total fixed costs $25,000 + target operating income, $20,000 = $45,000</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Boxes necessary to produce target operating income: $45,000 / $12 per box = 3,750 boxes Choice "a" is incorrect. The contribution margin of 60% means that variable costs are 40% of the sale price, not 60% of the sales price. Choice "b" is incorrect. The contribution margin needs to cover the fixed costs of $25,000 and the operating income before tax of $20,000. Fixed costs are not subject to the income tax rate in the calculation. Choice "d" is incorrect. Net income of $15,000 is after deducting the income tax expense. Operating income before tax of $20,000 must be generated in order to produce net income of $15,000.</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 xml:space="preserve">3-17 </w:t>
      </w:r>
      <w:proofErr w:type="gramStart"/>
      <w:r w:rsidRPr="00E56363">
        <w:rPr>
          <w:rFonts w:ascii="Times New Roman" w:hAnsi="Times New Roman" w:cs="Times New Roman"/>
          <w:b/>
          <w:bCs/>
          <w:sz w:val="28"/>
          <w:szCs w:val="28"/>
        </w:rPr>
        <w:t>During</w:t>
      </w:r>
      <w:proofErr w:type="gramEnd"/>
      <w:r w:rsidRPr="00E56363">
        <w:rPr>
          <w:rFonts w:ascii="Times New Roman" w:hAnsi="Times New Roman" w:cs="Times New Roman"/>
          <w:b/>
          <w:bCs/>
          <w:sz w:val="28"/>
          <w:szCs w:val="28"/>
        </w:rPr>
        <w:t xml:space="preserve"> the current year, XYZ Company increased its variable SG&amp;A expenses while keeping fixed SG&amp;A expenses the same. As a result, XYZ‘s:</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a. Contribution margin and gross margin will be lower.</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b. Contribution margin will be higher, while its gross margin will remain the same.</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c. Operating income will be the same under both the financial accounting income statement and contribution income statement.</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d. Inventory amounts booked under the financial accounting income statement will be lower than under the contribution income statement.</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SOLUTION</w:t>
      </w:r>
    </w:p>
    <w:p w:rsidR="00E56363" w:rsidRPr="00E56363" w:rsidRDefault="00E56363" w:rsidP="00E56363">
      <w:pPr>
        <w:autoSpaceDE w:val="0"/>
        <w:autoSpaceDN w:val="0"/>
        <w:bidi w:val="0"/>
        <w:adjustRightInd w:val="0"/>
        <w:spacing w:after="0" w:line="240" w:lineRule="auto"/>
        <w:ind w:right="-766"/>
        <w:rPr>
          <w:rFonts w:ascii="Times New Roman" w:hAnsi="Times New Roman" w:cs="Times New Roman"/>
          <w:b/>
          <w:bCs/>
          <w:sz w:val="28"/>
          <w:szCs w:val="28"/>
        </w:rPr>
      </w:pPr>
      <w:r w:rsidRPr="00E56363">
        <w:rPr>
          <w:rFonts w:ascii="Times New Roman" w:hAnsi="Times New Roman" w:cs="Times New Roman"/>
          <w:b/>
          <w:bCs/>
          <w:sz w:val="28"/>
          <w:szCs w:val="28"/>
        </w:rPr>
        <w:t>Choice "c" is correct. Operating income is the bottom line figure under both the financial accounting income approach and the contribution margin approach. Both methods take SG&amp;A (fixed and variable) into account, which means both will produce the same bottom line figure.</w:t>
      </w:r>
    </w:p>
    <w:p w:rsidR="008E709A" w:rsidRPr="00E56363" w:rsidRDefault="00E56363" w:rsidP="00E56363">
      <w:pPr>
        <w:autoSpaceDE w:val="0"/>
        <w:autoSpaceDN w:val="0"/>
        <w:bidi w:val="0"/>
        <w:adjustRightInd w:val="0"/>
        <w:spacing w:after="0" w:line="240" w:lineRule="auto"/>
        <w:ind w:right="-766"/>
        <w:rPr>
          <w:rFonts w:ascii="Times New Roman" w:hAnsi="Times New Roman" w:cs="Times New Roman" w:hint="cs"/>
          <w:b/>
          <w:bCs/>
          <w:sz w:val="28"/>
          <w:szCs w:val="28"/>
          <w:rtl/>
        </w:rPr>
      </w:pPr>
      <w:r>
        <w:rPr>
          <w:rFonts w:ascii="Times New Roman" w:hAnsi="Times New Roman" w:cs="Times New Roman"/>
          <w:b/>
          <w:bCs/>
          <w:sz w:val="28"/>
          <w:szCs w:val="28"/>
        </w:rPr>
        <w:t xml:space="preserve">3-5 </w:t>
      </w:r>
      <w:bookmarkStart w:id="0" w:name="_GoBack"/>
      <w:bookmarkEnd w:id="0"/>
      <w:r w:rsidRPr="00E56363">
        <w:rPr>
          <w:rFonts w:ascii="Times New Roman" w:hAnsi="Times New Roman" w:cs="Times New Roman"/>
          <w:b/>
          <w:bCs/>
          <w:sz w:val="28"/>
          <w:szCs w:val="28"/>
        </w:rPr>
        <w:t xml:space="preserve">Choice "a" is incorrect. The contribution margin will be lower due to an increase in variable SG&amp;A expenses, but the gross margin (as calculated under the financial accounting income approach) will not be affected because fixed and variable SG&amp;A expenses are deducted after calculating </w:t>
      </w:r>
      <w:r w:rsidRPr="00E56363">
        <w:rPr>
          <w:rFonts w:ascii="Times New Roman" w:hAnsi="Times New Roman" w:cs="Times New Roman"/>
          <w:b/>
          <w:bCs/>
          <w:sz w:val="28"/>
          <w:szCs w:val="28"/>
        </w:rPr>
        <w:lastRenderedPageBreak/>
        <w:t>gross income. Choice "b" is incorrect. The gross margin will remain the same, as SG&amp;A expenses do not factor into the gross margin calculation. The contribution margin will be lower (not higher) due to higher variable SG&amp;A expenses. Choice "d" is incorrect. Inventory amounts will be the same under both methods, as SG&amp;A expenses are period costs and will not affect inventory calculations.</w:t>
      </w:r>
    </w:p>
    <w:sectPr w:rsidR="008E709A" w:rsidRPr="00E56363" w:rsidSect="00900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63"/>
    <w:rsid w:val="008E709A"/>
    <w:rsid w:val="009005DC"/>
    <w:rsid w:val="00E56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4456</Characters>
  <Application>Microsoft Office Word</Application>
  <DocSecurity>0</DocSecurity>
  <Lines>37</Lines>
  <Paragraphs>10</Paragraphs>
  <ScaleCrop>false</ScaleCrop>
  <Company>Enjoy My Fine Releases.</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2020-02-15T10:49:00Z</dcterms:created>
  <dcterms:modified xsi:type="dcterms:W3CDTF">2020-02-15T10:51:00Z</dcterms:modified>
</cp:coreProperties>
</file>