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038F0" w14:textId="0DDC1445" w:rsidR="00C248D4" w:rsidRPr="00C248D4" w:rsidRDefault="00C248D4" w:rsidP="00C248D4">
      <w:pPr>
        <w:spacing w:after="0" w:line="240" w:lineRule="auto"/>
        <w:rPr>
          <w:rFonts w:ascii="Times New Roman" w:eastAsia="Times New Roman" w:hAnsi="Times New Roman" w:cs="Times New Roman"/>
          <w:kern w:val="0"/>
          <w:sz w:val="40"/>
          <w:szCs w:val="40"/>
          <w14:ligatures w14:val="none"/>
        </w:rPr>
      </w:pPr>
    </w:p>
    <w:p w14:paraId="55B5025D" w14:textId="77777777" w:rsidR="00C248D4" w:rsidRPr="00C248D4" w:rsidRDefault="00C248D4" w:rsidP="00C248D4">
      <w:pPr>
        <w:bidi/>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t>تعريف ومفهوم مؤسسات الودائع</w:t>
      </w:r>
    </w:p>
    <w:p w14:paraId="1C2885F3" w14:textId="77777777" w:rsidR="00C248D4" w:rsidRPr="00C248D4" w:rsidRDefault="00C248D4" w:rsidP="00C248D4">
      <w:pPr>
        <w:numPr>
          <w:ilvl w:val="0"/>
          <w:numId w:val="1"/>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مؤسسات الودائع</w:t>
      </w:r>
      <w:r w:rsidRPr="00C248D4">
        <w:rPr>
          <w:rFonts w:ascii="Times New Roman" w:eastAsia="Times New Roman" w:hAnsi="Times New Roman" w:cs="Times New Roman"/>
          <w:kern w:val="0"/>
          <w:sz w:val="40"/>
          <w:szCs w:val="40"/>
          <w:rtl/>
          <w14:ligatures w14:val="none"/>
        </w:rPr>
        <w:t xml:space="preserve"> </w:t>
      </w:r>
      <w:r w:rsidRPr="00C248D4">
        <w:rPr>
          <w:rFonts w:ascii="Times New Roman" w:eastAsia="Times New Roman" w:hAnsi="Times New Roman" w:cs="Times New Roman"/>
          <w:kern w:val="0"/>
          <w:sz w:val="40"/>
          <w:szCs w:val="40"/>
          <w14:ligatures w14:val="none"/>
        </w:rPr>
        <w:t xml:space="preserve">(Deposit Institutions) </w:t>
      </w:r>
      <w:r w:rsidRPr="00C248D4">
        <w:rPr>
          <w:rFonts w:ascii="Times New Roman" w:eastAsia="Times New Roman" w:hAnsi="Times New Roman" w:cs="Times New Roman"/>
          <w:kern w:val="0"/>
          <w:sz w:val="40"/>
          <w:szCs w:val="40"/>
          <w:rtl/>
          <w14:ligatures w14:val="none"/>
        </w:rPr>
        <w:t>هي تلك المصارف أو الكيانات المالية التي تستقبل ودائع من الأفراد والمؤسسات وتستخدم هذه الأموال في أنشطة الإقراض أو الاستثمارات المالية الأخرى، مع توفير ضمانات معينة للودائع (مثل تأمين أو ضمان الودائع)</w:t>
      </w:r>
      <w:r w:rsidRPr="00C248D4">
        <w:rPr>
          <w:rFonts w:ascii="Times New Roman" w:eastAsia="Times New Roman" w:hAnsi="Times New Roman" w:cs="Times New Roman"/>
          <w:kern w:val="0"/>
          <w:sz w:val="40"/>
          <w:szCs w:val="40"/>
          <w14:ligatures w14:val="none"/>
        </w:rPr>
        <w:t>.</w:t>
      </w:r>
    </w:p>
    <w:p w14:paraId="59A77EC9" w14:textId="77777777" w:rsidR="00C248D4" w:rsidRPr="00C248D4" w:rsidRDefault="00C248D4" w:rsidP="00C248D4">
      <w:pPr>
        <w:numPr>
          <w:ilvl w:val="0"/>
          <w:numId w:val="1"/>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 xml:space="preserve">جزء من هذه المؤسسات هي </w:t>
      </w:r>
      <w:r w:rsidRPr="00C248D4">
        <w:rPr>
          <w:rFonts w:ascii="Times New Roman" w:eastAsia="Times New Roman" w:hAnsi="Times New Roman" w:cs="Times New Roman"/>
          <w:b/>
          <w:bCs/>
          <w:kern w:val="0"/>
          <w:sz w:val="40"/>
          <w:szCs w:val="40"/>
          <w:rtl/>
          <w14:ligatures w14:val="none"/>
        </w:rPr>
        <w:t>شركات ضمان الودائع</w:t>
      </w:r>
      <w:r w:rsidRPr="00C248D4">
        <w:rPr>
          <w:rFonts w:ascii="Times New Roman" w:eastAsia="Times New Roman" w:hAnsi="Times New Roman" w:cs="Times New Roman"/>
          <w:kern w:val="0"/>
          <w:sz w:val="40"/>
          <w:szCs w:val="40"/>
          <w:rtl/>
          <w14:ligatures w14:val="none"/>
        </w:rPr>
        <w:t xml:space="preserve"> </w:t>
      </w:r>
      <w:r w:rsidRPr="00C248D4">
        <w:rPr>
          <w:rFonts w:ascii="Times New Roman" w:eastAsia="Times New Roman" w:hAnsi="Times New Roman" w:cs="Times New Roman"/>
          <w:kern w:val="0"/>
          <w:sz w:val="40"/>
          <w:szCs w:val="40"/>
          <w14:ligatures w14:val="none"/>
        </w:rPr>
        <w:t xml:space="preserve">(Deposit Insurance Companies) </w:t>
      </w:r>
      <w:r w:rsidRPr="00C248D4">
        <w:rPr>
          <w:rFonts w:ascii="Times New Roman" w:eastAsia="Times New Roman" w:hAnsi="Times New Roman" w:cs="Times New Roman"/>
          <w:kern w:val="0"/>
          <w:sz w:val="40"/>
          <w:szCs w:val="40"/>
          <w:rtl/>
          <w14:ligatures w14:val="none"/>
        </w:rPr>
        <w:t>أو ما يُعرف بـ “نظام ضمان الودائع”، الذي يهدف إلى حماية المودعين من خسائر محتملة في حالة فشل أو إفلاس أحد المصارف</w:t>
      </w:r>
      <w:r w:rsidRPr="00C248D4">
        <w:rPr>
          <w:rFonts w:ascii="Times New Roman" w:eastAsia="Times New Roman" w:hAnsi="Times New Roman" w:cs="Times New Roman"/>
          <w:kern w:val="0"/>
          <w:sz w:val="40"/>
          <w:szCs w:val="40"/>
          <w14:ligatures w14:val="none"/>
        </w:rPr>
        <w:t>.</w:t>
      </w:r>
    </w:p>
    <w:p w14:paraId="09B7D81D" w14:textId="77777777" w:rsidR="00C248D4" w:rsidRPr="00C248D4" w:rsidRDefault="00000000" w:rsidP="00C248D4">
      <w:pPr>
        <w:bidi/>
        <w:spacing w:after="0" w:line="240" w:lineRule="auto"/>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pict w14:anchorId="77245100">
          <v:rect id="_x0000_i1025" style="width:0;height:1.5pt" o:hralign="right" o:hrstd="t" o:hr="t" fillcolor="#a0a0a0" stroked="f"/>
        </w:pict>
      </w:r>
    </w:p>
    <w:p w14:paraId="6CEA8402" w14:textId="77777777" w:rsidR="00C248D4" w:rsidRPr="00C248D4" w:rsidRDefault="00C248D4" w:rsidP="00C248D4">
      <w:pPr>
        <w:bidi/>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t>الوضع الراهن في العراق</w:t>
      </w:r>
    </w:p>
    <w:p w14:paraId="7BD738C2" w14:textId="77777777" w:rsidR="00C248D4" w:rsidRPr="00C248D4" w:rsidRDefault="00C248D4" w:rsidP="00C248D4">
      <w:p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من الأعمال والدراسات والمقالات</w:t>
      </w:r>
      <w:r w:rsidRPr="00C248D4">
        <w:rPr>
          <w:rFonts w:ascii="Times New Roman" w:eastAsia="Times New Roman" w:hAnsi="Times New Roman" w:cs="Times New Roman"/>
          <w:kern w:val="0"/>
          <w:sz w:val="40"/>
          <w:szCs w:val="40"/>
          <w14:ligatures w14:val="none"/>
        </w:rPr>
        <w:t>:</w:t>
      </w:r>
    </w:p>
    <w:p w14:paraId="0AA96A62" w14:textId="77777777" w:rsidR="00C248D4" w:rsidRPr="00C248D4" w:rsidRDefault="00C248D4" w:rsidP="00C248D4">
      <w:pPr>
        <w:numPr>
          <w:ilvl w:val="0"/>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مستوى الثقة المنخفض</w:t>
      </w:r>
    </w:p>
    <w:p w14:paraId="2062E77A" w14:textId="77777777"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 xml:space="preserve">يُقدّر أن حوالي </w:t>
      </w:r>
      <w:r w:rsidRPr="00C248D4">
        <w:rPr>
          <w:rFonts w:ascii="Times New Roman" w:eastAsia="Times New Roman" w:hAnsi="Times New Roman" w:cs="Times New Roman"/>
          <w:b/>
          <w:bCs/>
          <w:kern w:val="0"/>
          <w:sz w:val="40"/>
          <w:szCs w:val="40"/>
          <w14:ligatures w14:val="none"/>
        </w:rPr>
        <w:t xml:space="preserve">80٪ </w:t>
      </w:r>
      <w:r w:rsidRPr="00C248D4">
        <w:rPr>
          <w:rFonts w:ascii="Times New Roman" w:eastAsia="Times New Roman" w:hAnsi="Times New Roman" w:cs="Times New Roman"/>
          <w:b/>
          <w:bCs/>
          <w:kern w:val="0"/>
          <w:sz w:val="40"/>
          <w:szCs w:val="40"/>
          <w:rtl/>
          <w14:ligatures w14:val="none"/>
        </w:rPr>
        <w:t>من السيولة النقدية</w:t>
      </w:r>
      <w:r w:rsidRPr="00C248D4">
        <w:rPr>
          <w:rFonts w:ascii="Times New Roman" w:eastAsia="Times New Roman" w:hAnsi="Times New Roman" w:cs="Times New Roman"/>
          <w:kern w:val="0"/>
          <w:sz w:val="40"/>
          <w:szCs w:val="40"/>
          <w:rtl/>
          <w14:ligatures w14:val="none"/>
        </w:rPr>
        <w:t xml:space="preserve"> </w:t>
      </w:r>
      <w:r w:rsidRPr="00C248D4">
        <w:rPr>
          <w:rFonts w:ascii="Times New Roman" w:eastAsia="Times New Roman" w:hAnsi="Times New Roman" w:cs="Times New Roman"/>
          <w:kern w:val="0"/>
          <w:sz w:val="40"/>
          <w:szCs w:val="40"/>
          <w14:ligatures w14:val="none"/>
        </w:rPr>
        <w:t xml:space="preserve">held by </w:t>
      </w:r>
      <w:r w:rsidRPr="00C248D4">
        <w:rPr>
          <w:rFonts w:ascii="Times New Roman" w:eastAsia="Times New Roman" w:hAnsi="Times New Roman" w:cs="Times New Roman"/>
          <w:kern w:val="0"/>
          <w:sz w:val="40"/>
          <w:szCs w:val="40"/>
          <w:rtl/>
          <w14:ligatures w14:val="none"/>
        </w:rPr>
        <w:t>الأفراد غير مودعة في البنوك، والباقي فقط (~20٪) موجود داخل النظام المصرفي</w:t>
      </w:r>
      <w:r w:rsidRPr="00C248D4">
        <w:rPr>
          <w:rFonts w:ascii="Times New Roman" w:eastAsia="Times New Roman" w:hAnsi="Times New Roman" w:cs="Times New Roman"/>
          <w:kern w:val="0"/>
          <w:sz w:val="40"/>
          <w:szCs w:val="40"/>
          <w14:ligatures w14:val="none"/>
        </w:rPr>
        <w:t>. (</w:t>
      </w:r>
      <w:hyperlink r:id="rId5" w:tooltip="Low trust in banking keeps Iraqis from depositing... | Rudaw.net" w:history="1">
        <w:r w:rsidRPr="00C248D4">
          <w:rPr>
            <w:rFonts w:ascii="Times New Roman" w:eastAsia="Times New Roman" w:hAnsi="Times New Roman" w:cs="Times New Roman"/>
            <w:color w:val="0000FF"/>
            <w:kern w:val="0"/>
            <w:sz w:val="40"/>
            <w:szCs w:val="40"/>
            <w:u w:val="single"/>
            <w14:ligatures w14:val="none"/>
          </w:rPr>
          <w:t>rudaw.net</w:t>
        </w:r>
      </w:hyperlink>
      <w:r w:rsidRPr="00C248D4">
        <w:rPr>
          <w:rFonts w:ascii="Times New Roman" w:eastAsia="Times New Roman" w:hAnsi="Times New Roman" w:cs="Times New Roman"/>
          <w:kern w:val="0"/>
          <w:sz w:val="40"/>
          <w:szCs w:val="40"/>
          <w14:ligatures w14:val="none"/>
        </w:rPr>
        <w:t>)</w:t>
      </w:r>
    </w:p>
    <w:p w14:paraId="0D56FDCD" w14:textId="77777777"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ضعف القوانين الفعلية التي تضمن الحماية الكاملة للودائع وعدم تنفيذ بعض مشاريع القوانين. مثلاً قانون ضمان الودائع ظلّ مشروعاً أحياناً ولم يُفعّل بالكامل في كل الحالات</w:t>
      </w:r>
      <w:r w:rsidRPr="00C248D4">
        <w:rPr>
          <w:rFonts w:ascii="Times New Roman" w:eastAsia="Times New Roman" w:hAnsi="Times New Roman" w:cs="Times New Roman"/>
          <w:kern w:val="0"/>
          <w:sz w:val="40"/>
          <w:szCs w:val="40"/>
          <w14:ligatures w14:val="none"/>
        </w:rPr>
        <w:t>. (</w:t>
      </w:r>
      <w:hyperlink r:id="rId6" w:tooltip="Iraqis turn to real estate amid banking trust issues – NIRIJ" w:history="1">
        <w:r w:rsidRPr="00C248D4">
          <w:rPr>
            <w:rFonts w:ascii="Times New Roman" w:eastAsia="Times New Roman" w:hAnsi="Times New Roman" w:cs="Times New Roman"/>
            <w:color w:val="0000FF"/>
            <w:kern w:val="0"/>
            <w:sz w:val="40"/>
            <w:szCs w:val="40"/>
            <w:u w:val="single"/>
            <w14:ligatures w14:val="none"/>
          </w:rPr>
          <w:t>NIRIJ</w:t>
        </w:r>
      </w:hyperlink>
      <w:r w:rsidRPr="00C248D4">
        <w:rPr>
          <w:rFonts w:ascii="Times New Roman" w:eastAsia="Times New Roman" w:hAnsi="Times New Roman" w:cs="Times New Roman"/>
          <w:kern w:val="0"/>
          <w:sz w:val="40"/>
          <w:szCs w:val="40"/>
          <w14:ligatures w14:val="none"/>
        </w:rPr>
        <w:t>)</w:t>
      </w:r>
    </w:p>
    <w:p w14:paraId="5D536A14" w14:textId="77777777" w:rsidR="00C248D4" w:rsidRPr="00C248D4" w:rsidRDefault="00C248D4" w:rsidP="00C248D4">
      <w:pPr>
        <w:numPr>
          <w:ilvl w:val="0"/>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وجود شركة ضمان الودائع العراقية</w:t>
      </w:r>
    </w:p>
    <w:p w14:paraId="64195B7A" w14:textId="77777777"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تم تأسيس "الشركة العراقية لضمان الودائع" كأحد الآليات المشمولة ضمن الرقابة والمبادرات المصرفية</w:t>
      </w:r>
      <w:r w:rsidRPr="00C248D4">
        <w:rPr>
          <w:rFonts w:ascii="Times New Roman" w:eastAsia="Times New Roman" w:hAnsi="Times New Roman" w:cs="Times New Roman"/>
          <w:kern w:val="0"/>
          <w:sz w:val="40"/>
          <w:szCs w:val="40"/>
          <w14:ligatures w14:val="none"/>
        </w:rPr>
        <w:t>. (</w:t>
      </w:r>
      <w:hyperlink r:id="rId7" w:tooltip="Iraqis turn to real estate amid banking trust issues – NIRIJ" w:history="1">
        <w:r w:rsidRPr="00C248D4">
          <w:rPr>
            <w:rFonts w:ascii="Times New Roman" w:eastAsia="Times New Roman" w:hAnsi="Times New Roman" w:cs="Times New Roman"/>
            <w:color w:val="0000FF"/>
            <w:kern w:val="0"/>
            <w:sz w:val="40"/>
            <w:szCs w:val="40"/>
            <w:u w:val="single"/>
            <w14:ligatures w14:val="none"/>
          </w:rPr>
          <w:t>NIRIJ</w:t>
        </w:r>
      </w:hyperlink>
      <w:r w:rsidRPr="00C248D4">
        <w:rPr>
          <w:rFonts w:ascii="Times New Roman" w:eastAsia="Times New Roman" w:hAnsi="Times New Roman" w:cs="Times New Roman"/>
          <w:kern w:val="0"/>
          <w:sz w:val="40"/>
          <w:szCs w:val="40"/>
          <w14:ligatures w14:val="none"/>
        </w:rPr>
        <w:t>)</w:t>
      </w:r>
    </w:p>
    <w:p w14:paraId="3BD74BD6" w14:textId="77777777"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lastRenderedPageBreak/>
        <w:t>البنك المركزي أقام ورشة عمل حول ضمان الودائع، وحضر ممثلو مصارف ومسؤولون لشرح دورها</w:t>
      </w:r>
      <w:r w:rsidRPr="00C248D4">
        <w:rPr>
          <w:rFonts w:ascii="Times New Roman" w:eastAsia="Times New Roman" w:hAnsi="Times New Roman" w:cs="Times New Roman"/>
          <w:kern w:val="0"/>
          <w:sz w:val="40"/>
          <w:szCs w:val="40"/>
          <w14:ligatures w14:val="none"/>
        </w:rPr>
        <w:t>. (</w:t>
      </w:r>
      <w:hyperlink r:id="rId8" w:tooltip="البنك المركزي العراقي | مركز الدراسات المصرفية يقيم ورشة عمل حول ضمان الودائع" w:history="1">
        <w:r w:rsidRPr="00C248D4">
          <w:rPr>
            <w:rFonts w:ascii="Times New Roman" w:eastAsia="Times New Roman" w:hAnsi="Times New Roman" w:cs="Times New Roman"/>
            <w:color w:val="0000FF"/>
            <w:kern w:val="0"/>
            <w:sz w:val="40"/>
            <w:szCs w:val="40"/>
            <w:u w:val="single"/>
            <w:rtl/>
            <w14:ligatures w14:val="none"/>
          </w:rPr>
          <w:t>البنك المركزي</w:t>
        </w:r>
      </w:hyperlink>
      <w:r w:rsidRPr="00C248D4">
        <w:rPr>
          <w:rFonts w:ascii="Times New Roman" w:eastAsia="Times New Roman" w:hAnsi="Times New Roman" w:cs="Times New Roman"/>
          <w:kern w:val="0"/>
          <w:sz w:val="40"/>
          <w:szCs w:val="40"/>
          <w14:ligatures w14:val="none"/>
        </w:rPr>
        <w:t>)</w:t>
      </w:r>
    </w:p>
    <w:p w14:paraId="4D851587" w14:textId="77777777" w:rsidR="00C248D4" w:rsidRPr="00C248D4" w:rsidRDefault="00C248D4" w:rsidP="00C248D4">
      <w:pPr>
        <w:numPr>
          <w:ilvl w:val="0"/>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التحديات المالية والسيولة وتذبذب القيمة</w:t>
      </w:r>
    </w:p>
    <w:p w14:paraId="0597AC25" w14:textId="72C65909"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انخفاض الودائع في السنوات الأخيرة، مثلاً انخفاض من حوالي</w:t>
      </w:r>
      <w:r w:rsidRPr="00C248D4">
        <w:rPr>
          <w:rFonts w:ascii="Times New Roman" w:eastAsia="Times New Roman" w:hAnsi="Times New Roman" w:cs="Times New Roman"/>
          <w:kern w:val="0"/>
          <w:sz w:val="40"/>
          <w:szCs w:val="40"/>
          <w14:ligatures w14:val="none"/>
        </w:rPr>
        <w:t xml:space="preserve"> </w:t>
      </w:r>
      <w:r w:rsidRPr="00C248D4">
        <w:rPr>
          <w:rFonts w:ascii="Times New Roman" w:eastAsia="Times New Roman" w:hAnsi="Times New Roman" w:cs="Times New Roman"/>
          <w:kern w:val="0"/>
          <w:sz w:val="40"/>
          <w:szCs w:val="40"/>
          <w:cs/>
          <w14:ligatures w14:val="none"/>
        </w:rPr>
        <w:t>‎</w:t>
      </w:r>
      <w:r w:rsidRPr="00C248D4">
        <w:rPr>
          <w:rFonts w:ascii="Times New Roman" w:eastAsia="Times New Roman" w:hAnsi="Times New Roman" w:cs="Times New Roman"/>
          <w:kern w:val="0"/>
          <w:sz w:val="40"/>
          <w:szCs w:val="40"/>
          <w14:ligatures w14:val="none"/>
        </w:rPr>
        <w:t xml:space="preserve">133.5 </w:t>
      </w:r>
      <w:r w:rsidRPr="00C248D4">
        <w:rPr>
          <w:rFonts w:ascii="Times New Roman" w:eastAsia="Times New Roman" w:hAnsi="Times New Roman" w:cs="Times New Roman"/>
          <w:kern w:val="0"/>
          <w:sz w:val="40"/>
          <w:szCs w:val="40"/>
          <w:rtl/>
          <w14:ligatures w14:val="none"/>
        </w:rPr>
        <w:t>تريليون دينار عراقي في نهاية 2023 إلى ~123.5 تريليون في 2024</w:t>
      </w:r>
      <w:r w:rsidRPr="00C248D4">
        <w:rPr>
          <w:rFonts w:ascii="Times New Roman" w:eastAsia="Times New Roman" w:hAnsi="Times New Roman" w:cs="Times New Roman"/>
          <w:kern w:val="0"/>
          <w:sz w:val="40"/>
          <w:szCs w:val="40"/>
          <w14:ligatures w14:val="none"/>
        </w:rPr>
        <w:t>. (</w:t>
      </w:r>
    </w:p>
    <w:p w14:paraId="26B3C196" w14:textId="05F07EA4"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مشكلة “تسريب العملة</w:t>
      </w:r>
      <w:r w:rsidRPr="00C248D4">
        <w:rPr>
          <w:rFonts w:ascii="Times New Roman" w:eastAsia="Times New Roman" w:hAnsi="Times New Roman" w:cs="Times New Roman"/>
          <w:kern w:val="0"/>
          <w:sz w:val="40"/>
          <w:szCs w:val="40"/>
          <w14:ligatures w14:val="none"/>
        </w:rPr>
        <w:t xml:space="preserve">” (currency leakage): </w:t>
      </w:r>
      <w:r w:rsidRPr="00C248D4">
        <w:rPr>
          <w:rFonts w:ascii="Times New Roman" w:eastAsia="Times New Roman" w:hAnsi="Times New Roman" w:cs="Times New Roman"/>
          <w:kern w:val="0"/>
          <w:sz w:val="40"/>
          <w:szCs w:val="40"/>
          <w:rtl/>
          <w14:ligatures w14:val="none"/>
        </w:rPr>
        <w:t>الناس يفضلون الاحتفاظ بالنقد في المنزل أو خارج النظام البنكي بسبب الخوف من فقدان القيمة أو مشاكل السحب بالعملة الأجنبية</w:t>
      </w:r>
      <w:r w:rsidRPr="00C248D4">
        <w:rPr>
          <w:rFonts w:ascii="Times New Roman" w:eastAsia="Times New Roman" w:hAnsi="Times New Roman" w:cs="Times New Roman"/>
          <w:kern w:val="0"/>
          <w:sz w:val="40"/>
          <w:szCs w:val="40"/>
          <w14:ligatures w14:val="none"/>
        </w:rPr>
        <w:t>. (</w:t>
      </w:r>
    </w:p>
    <w:p w14:paraId="59166F88" w14:textId="77777777" w:rsidR="00C248D4" w:rsidRPr="00C248D4" w:rsidRDefault="00C248D4" w:rsidP="00C248D4">
      <w:pPr>
        <w:numPr>
          <w:ilvl w:val="0"/>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الجوانب التنظيمية والرقابية</w:t>
      </w:r>
    </w:p>
    <w:p w14:paraId="4CC19EA7" w14:textId="3E52B4D7"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البنك المركزي العراقي يُنفّذ رقابة على المصارف ويشترط التزامها بالتعليمات والقوانين، لكن فعالية الرقابة لا تزال محل نقاش</w:t>
      </w:r>
      <w:r w:rsidRPr="00C248D4">
        <w:rPr>
          <w:rFonts w:ascii="Times New Roman" w:eastAsia="Times New Roman" w:hAnsi="Times New Roman" w:cs="Times New Roman"/>
          <w:kern w:val="0"/>
          <w:sz w:val="40"/>
          <w:szCs w:val="40"/>
          <w14:ligatures w14:val="none"/>
        </w:rPr>
        <w:t xml:space="preserve">. </w:t>
      </w:r>
    </w:p>
    <w:p w14:paraId="3AF05C3D" w14:textId="77777777" w:rsidR="00C248D4" w:rsidRPr="00C248D4" w:rsidRDefault="00C248D4" w:rsidP="00C248D4">
      <w:pPr>
        <w:numPr>
          <w:ilvl w:val="1"/>
          <w:numId w:val="2"/>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وجود مبادرات نحو التمويل المستدام وتحسين الحوكمة والممارسات البيئية، وزيادة الشفافية</w:t>
      </w:r>
      <w:r w:rsidRPr="00C248D4">
        <w:rPr>
          <w:rFonts w:ascii="Times New Roman" w:eastAsia="Times New Roman" w:hAnsi="Times New Roman" w:cs="Times New Roman"/>
          <w:kern w:val="0"/>
          <w:sz w:val="40"/>
          <w:szCs w:val="40"/>
          <w14:ligatures w14:val="none"/>
        </w:rPr>
        <w:t>. (</w:t>
      </w:r>
      <w:hyperlink r:id="rId9" w:tooltip="تضافر جهود مؤسسة التمويل الدولية والبنك المركزي العراقي لدعم التمويل المستدام في العراق" w:history="1">
        <w:r w:rsidRPr="00C248D4">
          <w:rPr>
            <w:rFonts w:ascii="Times New Roman" w:eastAsia="Times New Roman" w:hAnsi="Times New Roman" w:cs="Times New Roman"/>
            <w:color w:val="0000FF"/>
            <w:kern w:val="0"/>
            <w:sz w:val="40"/>
            <w:szCs w:val="40"/>
            <w:u w:val="single"/>
            <w14:ligatures w14:val="none"/>
          </w:rPr>
          <w:t>IFC</w:t>
        </w:r>
      </w:hyperlink>
      <w:r w:rsidRPr="00C248D4">
        <w:rPr>
          <w:rFonts w:ascii="Times New Roman" w:eastAsia="Times New Roman" w:hAnsi="Times New Roman" w:cs="Times New Roman"/>
          <w:kern w:val="0"/>
          <w:sz w:val="40"/>
          <w:szCs w:val="40"/>
          <w14:ligatures w14:val="none"/>
        </w:rPr>
        <w:t>)</w:t>
      </w:r>
    </w:p>
    <w:p w14:paraId="320F5565" w14:textId="77777777" w:rsidR="00C248D4" w:rsidRPr="00C248D4" w:rsidRDefault="00000000" w:rsidP="00C248D4">
      <w:pPr>
        <w:bidi/>
        <w:spacing w:after="0" w:line="240" w:lineRule="auto"/>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pict w14:anchorId="47445DD8">
          <v:rect id="_x0000_i1026" style="width:0;height:1.5pt" o:hralign="right" o:hrstd="t" o:hr="t" fillcolor="#a0a0a0" stroked="f"/>
        </w:pict>
      </w:r>
    </w:p>
    <w:p w14:paraId="114BD73D" w14:textId="77777777" w:rsidR="00C248D4" w:rsidRPr="00C248D4" w:rsidRDefault="00C248D4" w:rsidP="00C248D4">
      <w:pPr>
        <w:bidi/>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t>الدور الذي يمكن أن تلعبه مؤسسات الودائع في إعادة الثقة</w:t>
      </w:r>
    </w:p>
    <w:p w14:paraId="258D06F2" w14:textId="77777777" w:rsidR="00C248D4" w:rsidRPr="00C248D4" w:rsidRDefault="00C248D4" w:rsidP="00C248D4">
      <w:p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إليك كيف يمكن لمؤسسات ضمان الودائع ومؤسسات الودائع بشكل عام أن تساهم في بناء الثقة</w:t>
      </w:r>
      <w:r w:rsidRPr="00C248D4">
        <w:rPr>
          <w:rFonts w:ascii="Times New Roman" w:eastAsia="Times New Roman" w:hAnsi="Times New Roman" w:cs="Times New Roman"/>
          <w:kern w:val="0"/>
          <w:sz w:val="40"/>
          <w:szCs w:val="40"/>
          <w14:ligatures w14:val="none"/>
        </w:rPr>
        <w:t>:</w:t>
      </w:r>
    </w:p>
    <w:p w14:paraId="2E5025D7" w14:textId="77777777" w:rsidR="00C248D4" w:rsidRPr="00C248D4" w:rsidRDefault="00C248D4" w:rsidP="00C248D4">
      <w:pPr>
        <w:numPr>
          <w:ilvl w:val="0"/>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حماية المودعين</w:t>
      </w:r>
    </w:p>
    <w:p w14:paraId="53C87E39"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وجود ضمان فعّال للودائع يُطمئن الناس أن أموالهم في المصارف ستكون محمية حتى في حالة فشل مصرف ما. هذا يقلل من الخوف ويحفّز على الإيداع ضمن النظام المصرفي</w:t>
      </w:r>
      <w:r w:rsidRPr="00C248D4">
        <w:rPr>
          <w:rFonts w:ascii="Times New Roman" w:eastAsia="Times New Roman" w:hAnsi="Times New Roman" w:cs="Times New Roman"/>
          <w:kern w:val="0"/>
          <w:sz w:val="40"/>
          <w:szCs w:val="40"/>
          <w14:ligatures w14:val="none"/>
        </w:rPr>
        <w:t>.</w:t>
      </w:r>
    </w:p>
    <w:p w14:paraId="4D9F37BC"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تأمين على الودائع مع سقوف واضحة للتعويض يُعطي شعور بالأمان</w:t>
      </w:r>
      <w:r w:rsidRPr="00C248D4">
        <w:rPr>
          <w:rFonts w:ascii="Times New Roman" w:eastAsia="Times New Roman" w:hAnsi="Times New Roman" w:cs="Times New Roman"/>
          <w:kern w:val="0"/>
          <w:sz w:val="40"/>
          <w:szCs w:val="40"/>
          <w14:ligatures w14:val="none"/>
        </w:rPr>
        <w:t>.</w:t>
      </w:r>
    </w:p>
    <w:p w14:paraId="7029F7C4" w14:textId="77777777" w:rsidR="00C248D4" w:rsidRPr="00C248D4" w:rsidRDefault="00C248D4" w:rsidP="00C248D4">
      <w:pPr>
        <w:numPr>
          <w:ilvl w:val="0"/>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lastRenderedPageBreak/>
        <w:t>زيادة الشفافية والمساءلة</w:t>
      </w:r>
    </w:p>
    <w:p w14:paraId="15131D8E"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مؤسسات الودائع تشترط شروطاً من المصارف للاستمرار في الضمان، مثل الإفصاح المالي الدوري، الالتزام بالاحتياطات والسيولة، تفادي المخاطر الكبيرة وغير المنضبطة</w:t>
      </w:r>
      <w:r w:rsidRPr="00C248D4">
        <w:rPr>
          <w:rFonts w:ascii="Times New Roman" w:eastAsia="Times New Roman" w:hAnsi="Times New Roman" w:cs="Times New Roman"/>
          <w:kern w:val="0"/>
          <w:sz w:val="40"/>
          <w:szCs w:val="40"/>
          <w14:ligatures w14:val="none"/>
        </w:rPr>
        <w:t>.</w:t>
      </w:r>
    </w:p>
    <w:p w14:paraId="19619419"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الرقابة والتدقيق من الجهات المختصة، والإعلان عن نتائج تلك الرقابة للمودعين والمجتمع</w:t>
      </w:r>
      <w:r w:rsidRPr="00C248D4">
        <w:rPr>
          <w:rFonts w:ascii="Times New Roman" w:eastAsia="Times New Roman" w:hAnsi="Times New Roman" w:cs="Times New Roman"/>
          <w:kern w:val="0"/>
          <w:sz w:val="40"/>
          <w:szCs w:val="40"/>
          <w14:ligatures w14:val="none"/>
        </w:rPr>
        <w:t>.</w:t>
      </w:r>
    </w:p>
    <w:p w14:paraId="4F7B4FCF" w14:textId="77777777" w:rsidR="00C248D4" w:rsidRPr="00C248D4" w:rsidRDefault="00C248D4" w:rsidP="00C248D4">
      <w:pPr>
        <w:numPr>
          <w:ilvl w:val="0"/>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تحسين جودة الخدمات المصرفية</w:t>
      </w:r>
    </w:p>
    <w:p w14:paraId="48B1920A"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عندما يكون هناك رؤية بأن البنوك مطالبة بأن تكون آمنة ومستقرة، فإنها تُحفز لتطوير البنى التحتية المالية، الصيرفة الإلكترونية، الدفع الرقمي، وتسهيل الخدمات البنكية. هذه أمور تعزز الثقة لأن العميل يملك بدائل والخدمات تكون أفضل</w:t>
      </w:r>
      <w:r w:rsidRPr="00C248D4">
        <w:rPr>
          <w:rFonts w:ascii="Times New Roman" w:eastAsia="Times New Roman" w:hAnsi="Times New Roman" w:cs="Times New Roman"/>
          <w:kern w:val="0"/>
          <w:sz w:val="40"/>
          <w:szCs w:val="40"/>
          <w14:ligatures w14:val="none"/>
        </w:rPr>
        <w:t>.</w:t>
      </w:r>
    </w:p>
    <w:p w14:paraId="5F3C5B4E" w14:textId="47A47414" w:rsidR="00C248D4" w:rsidRPr="00C248D4" w:rsidRDefault="00C248D4" w:rsidP="00063647">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دراسات تشير أن الصيرفة الإلكترونية تساعد في جذب الودائع وتخفيض تكاليف المعاملات</w:t>
      </w:r>
      <w:r w:rsidRPr="00C248D4">
        <w:rPr>
          <w:rFonts w:ascii="Times New Roman" w:eastAsia="Times New Roman" w:hAnsi="Times New Roman" w:cs="Times New Roman"/>
          <w:kern w:val="0"/>
          <w:sz w:val="40"/>
          <w:szCs w:val="40"/>
          <w14:ligatures w14:val="none"/>
        </w:rPr>
        <w:t>. (</w:t>
      </w:r>
    </w:p>
    <w:p w14:paraId="298798BA" w14:textId="77777777" w:rsidR="00C248D4" w:rsidRPr="00C248D4" w:rsidRDefault="00C248D4" w:rsidP="00C248D4">
      <w:pPr>
        <w:numPr>
          <w:ilvl w:val="0"/>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الاستقرار المالي والاقتصادي</w:t>
      </w:r>
    </w:p>
    <w:p w14:paraId="51FAE5CB"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مؤسسات الودائع تساهم في خلق نظام مصرفي أكثر تماسكا. عندما يثق الناس بأن أموالهم آمنة، يُقلّ الاحتفاظ بالنقد خارج النظام، فيصبح للنظام المصرفي ودائع أكثر، ما يتيح للبنوك إعطاء قروض، تمويل مشاريع، دعم الاقتصاد</w:t>
      </w:r>
      <w:r w:rsidRPr="00C248D4">
        <w:rPr>
          <w:rFonts w:ascii="Times New Roman" w:eastAsia="Times New Roman" w:hAnsi="Times New Roman" w:cs="Times New Roman"/>
          <w:kern w:val="0"/>
          <w:sz w:val="40"/>
          <w:szCs w:val="40"/>
          <w14:ligatures w14:val="none"/>
        </w:rPr>
        <w:t>.</w:t>
      </w:r>
    </w:p>
    <w:p w14:paraId="214E8EDD"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الحدّ من تبعات الأزمات المصرفية المفاجئة على الأفراد، لأن الضمان يساعد في تخفيف الخسائر</w:t>
      </w:r>
      <w:r w:rsidRPr="00C248D4">
        <w:rPr>
          <w:rFonts w:ascii="Times New Roman" w:eastAsia="Times New Roman" w:hAnsi="Times New Roman" w:cs="Times New Roman"/>
          <w:kern w:val="0"/>
          <w:sz w:val="40"/>
          <w:szCs w:val="40"/>
          <w14:ligatures w14:val="none"/>
        </w:rPr>
        <w:t>.</w:t>
      </w:r>
    </w:p>
    <w:p w14:paraId="5DCB8043" w14:textId="77777777" w:rsidR="00C248D4" w:rsidRPr="00C248D4" w:rsidRDefault="00C248D4" w:rsidP="00C248D4">
      <w:pPr>
        <w:numPr>
          <w:ilvl w:val="0"/>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دعم الإصلاحات البنكية والتنظيمية</w:t>
      </w:r>
    </w:p>
    <w:p w14:paraId="63046B38"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ضمان الودائع يجب أن يُكمل السياسات الأخرى مثل الحوكمة، مكافحة غسل الأموال، الإفصاح، شفافية الرّقابة، معايير رأس المال والاحتياطي</w:t>
      </w:r>
      <w:r w:rsidRPr="00C248D4">
        <w:rPr>
          <w:rFonts w:ascii="Times New Roman" w:eastAsia="Times New Roman" w:hAnsi="Times New Roman" w:cs="Times New Roman"/>
          <w:kern w:val="0"/>
          <w:sz w:val="40"/>
          <w:szCs w:val="40"/>
          <w14:ligatures w14:val="none"/>
        </w:rPr>
        <w:t>.</w:t>
      </w:r>
    </w:p>
    <w:p w14:paraId="3B923E3A" w14:textId="77777777" w:rsidR="00C248D4" w:rsidRPr="00C248D4" w:rsidRDefault="00C248D4" w:rsidP="00C248D4">
      <w:pPr>
        <w:numPr>
          <w:ilvl w:val="1"/>
          <w:numId w:val="3"/>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الشراكات مع المنظمات الدولية لتطبيق معايير دولية (كما في حالة التمويل المستدام)</w:t>
      </w:r>
      <w:r w:rsidRPr="00C248D4">
        <w:rPr>
          <w:rFonts w:ascii="Times New Roman" w:eastAsia="Times New Roman" w:hAnsi="Times New Roman" w:cs="Times New Roman"/>
          <w:kern w:val="0"/>
          <w:sz w:val="40"/>
          <w:szCs w:val="40"/>
          <w14:ligatures w14:val="none"/>
        </w:rPr>
        <w:t>. (</w:t>
      </w:r>
      <w:hyperlink r:id="rId10" w:tooltip="تضافر جهود مؤسسة التمويل الدولية والبنك المركزي العراقي لدعم التمويل المستدام في العراق" w:history="1">
        <w:r w:rsidRPr="00C248D4">
          <w:rPr>
            <w:rFonts w:ascii="Times New Roman" w:eastAsia="Times New Roman" w:hAnsi="Times New Roman" w:cs="Times New Roman"/>
            <w:color w:val="0000FF"/>
            <w:kern w:val="0"/>
            <w:sz w:val="40"/>
            <w:szCs w:val="40"/>
            <w:u w:val="single"/>
            <w14:ligatures w14:val="none"/>
          </w:rPr>
          <w:t>IFC</w:t>
        </w:r>
      </w:hyperlink>
      <w:r w:rsidRPr="00C248D4">
        <w:rPr>
          <w:rFonts w:ascii="Times New Roman" w:eastAsia="Times New Roman" w:hAnsi="Times New Roman" w:cs="Times New Roman"/>
          <w:kern w:val="0"/>
          <w:sz w:val="40"/>
          <w:szCs w:val="40"/>
          <w14:ligatures w14:val="none"/>
        </w:rPr>
        <w:t>)</w:t>
      </w:r>
    </w:p>
    <w:p w14:paraId="746A0CB6" w14:textId="77777777" w:rsidR="00C248D4" w:rsidRPr="00C248D4" w:rsidRDefault="00000000" w:rsidP="00C248D4">
      <w:pPr>
        <w:bidi/>
        <w:spacing w:after="0" w:line="240" w:lineRule="auto"/>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pict w14:anchorId="24D0F03A">
          <v:rect id="_x0000_i1027" style="width:0;height:1.5pt" o:hralign="right" o:hrstd="t" o:hr="t" fillcolor="#a0a0a0" stroked="f"/>
        </w:pict>
      </w:r>
    </w:p>
    <w:p w14:paraId="23769390" w14:textId="77777777" w:rsidR="00C248D4" w:rsidRPr="00C248D4" w:rsidRDefault="00C248D4" w:rsidP="00C248D4">
      <w:pPr>
        <w:bidi/>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lastRenderedPageBreak/>
        <w:t>التحديات التي تواجه تحقيق الدور المطلوب</w:t>
      </w:r>
    </w:p>
    <w:p w14:paraId="1707AF17" w14:textId="77777777" w:rsidR="00C248D4" w:rsidRPr="00C248D4" w:rsidRDefault="00C248D4" w:rsidP="00C248D4">
      <w:p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لكي تكون مؤسسات الودائع فعّالة في استعادة الثقة، يجب التغلب على عدة عقبات</w:t>
      </w:r>
      <w:r w:rsidRPr="00C248D4">
        <w:rPr>
          <w:rFonts w:ascii="Times New Roman" w:eastAsia="Times New Roman" w:hAnsi="Times New Roman" w:cs="Times New Roman"/>
          <w:kern w:val="0"/>
          <w:sz w:val="40"/>
          <w:szCs w:val="40"/>
          <w14:ligatures w14:val="none"/>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7"/>
        <w:gridCol w:w="6243"/>
      </w:tblGrid>
      <w:tr w:rsidR="00C248D4" w:rsidRPr="00C248D4" w14:paraId="5F90B65B" w14:textId="77777777" w:rsidTr="00C248D4">
        <w:trPr>
          <w:tblHeader/>
          <w:tblCellSpacing w:w="15" w:type="dxa"/>
        </w:trPr>
        <w:tc>
          <w:tcPr>
            <w:tcW w:w="0" w:type="auto"/>
            <w:vAlign w:val="center"/>
            <w:hideMark/>
          </w:tcPr>
          <w:p w14:paraId="1CD4CC8A" w14:textId="77777777" w:rsidR="00C248D4" w:rsidRPr="00C248D4" w:rsidRDefault="00C248D4" w:rsidP="00C248D4">
            <w:pPr>
              <w:bidi/>
              <w:spacing w:after="0" w:line="240" w:lineRule="auto"/>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t>التحدي</w:t>
            </w:r>
          </w:p>
        </w:tc>
        <w:tc>
          <w:tcPr>
            <w:tcW w:w="0" w:type="auto"/>
            <w:vAlign w:val="center"/>
            <w:hideMark/>
          </w:tcPr>
          <w:p w14:paraId="2AB7930A" w14:textId="77777777" w:rsidR="00C248D4" w:rsidRPr="00C248D4" w:rsidRDefault="00C248D4" w:rsidP="00C248D4">
            <w:pPr>
              <w:bidi/>
              <w:spacing w:after="0" w:line="240" w:lineRule="auto"/>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t>شرح</w:t>
            </w:r>
          </w:p>
        </w:tc>
      </w:tr>
      <w:tr w:rsidR="00C248D4" w:rsidRPr="00C248D4" w14:paraId="5CDC3A97" w14:textId="77777777" w:rsidTr="00C248D4">
        <w:trPr>
          <w:tblCellSpacing w:w="15" w:type="dxa"/>
        </w:trPr>
        <w:tc>
          <w:tcPr>
            <w:tcW w:w="0" w:type="auto"/>
            <w:vAlign w:val="center"/>
            <w:hideMark/>
          </w:tcPr>
          <w:p w14:paraId="4DB0A516"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ضعف التشريعات والتنفيذ</w:t>
            </w:r>
          </w:p>
        </w:tc>
        <w:tc>
          <w:tcPr>
            <w:tcW w:w="0" w:type="auto"/>
            <w:vAlign w:val="center"/>
            <w:hideMark/>
          </w:tcPr>
          <w:p w14:paraId="0CBA29A4"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بعض القوانين موجودة نظرياً لكن التنفيذ ضعيف أو غير موحّد</w:t>
            </w:r>
            <w:r w:rsidRPr="00C248D4">
              <w:rPr>
                <w:rFonts w:ascii="Times New Roman" w:eastAsia="Times New Roman" w:hAnsi="Times New Roman" w:cs="Times New Roman"/>
                <w:kern w:val="0"/>
                <w:sz w:val="40"/>
                <w:szCs w:val="40"/>
                <w14:ligatures w14:val="none"/>
              </w:rPr>
              <w:t>.</w:t>
            </w:r>
          </w:p>
        </w:tc>
      </w:tr>
      <w:tr w:rsidR="00C248D4" w:rsidRPr="00C248D4" w14:paraId="2043CF36" w14:textId="77777777" w:rsidTr="00C248D4">
        <w:trPr>
          <w:tblCellSpacing w:w="15" w:type="dxa"/>
        </w:trPr>
        <w:tc>
          <w:tcPr>
            <w:tcW w:w="0" w:type="auto"/>
            <w:vAlign w:val="center"/>
            <w:hideMark/>
          </w:tcPr>
          <w:p w14:paraId="07C08DAC"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نقص الشفافية</w:t>
            </w:r>
          </w:p>
        </w:tc>
        <w:tc>
          <w:tcPr>
            <w:tcW w:w="0" w:type="auto"/>
            <w:vAlign w:val="center"/>
            <w:hideMark/>
          </w:tcPr>
          <w:p w14:paraId="0107B8A9"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 xml:space="preserve">المعلومات المالية للمصارف أحياناً غير متوفّرة للجمهور، أو غير دقيقة، وبعض </w:t>
            </w:r>
            <w:proofErr w:type="spellStart"/>
            <w:r w:rsidRPr="00C248D4">
              <w:rPr>
                <w:rFonts w:ascii="Times New Roman" w:eastAsia="Times New Roman" w:hAnsi="Times New Roman" w:cs="Times New Roman"/>
                <w:kern w:val="0"/>
                <w:sz w:val="40"/>
                <w:szCs w:val="40"/>
                <w:rtl/>
                <w14:ligatures w14:val="none"/>
              </w:rPr>
              <w:t>الرقابات</w:t>
            </w:r>
            <w:proofErr w:type="spellEnd"/>
            <w:r w:rsidRPr="00C248D4">
              <w:rPr>
                <w:rFonts w:ascii="Times New Roman" w:eastAsia="Times New Roman" w:hAnsi="Times New Roman" w:cs="Times New Roman"/>
                <w:kern w:val="0"/>
                <w:sz w:val="40"/>
                <w:szCs w:val="40"/>
                <w:rtl/>
                <w14:ligatures w14:val="none"/>
              </w:rPr>
              <w:t xml:space="preserve"> داخلية فقط</w:t>
            </w:r>
            <w:r w:rsidRPr="00C248D4">
              <w:rPr>
                <w:rFonts w:ascii="Times New Roman" w:eastAsia="Times New Roman" w:hAnsi="Times New Roman" w:cs="Times New Roman"/>
                <w:kern w:val="0"/>
                <w:sz w:val="40"/>
                <w:szCs w:val="40"/>
                <w14:ligatures w14:val="none"/>
              </w:rPr>
              <w:t>.</w:t>
            </w:r>
          </w:p>
        </w:tc>
      </w:tr>
      <w:tr w:rsidR="00C248D4" w:rsidRPr="00C248D4" w14:paraId="73D78FB0" w14:textId="77777777" w:rsidTr="00C248D4">
        <w:trPr>
          <w:tblCellSpacing w:w="15" w:type="dxa"/>
        </w:trPr>
        <w:tc>
          <w:tcPr>
            <w:tcW w:w="0" w:type="auto"/>
            <w:vAlign w:val="center"/>
            <w:hideMark/>
          </w:tcPr>
          <w:p w14:paraId="64711DB6"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التدهور في قيمة العملة وعدم الاستقرار الاقتصادي</w:t>
            </w:r>
          </w:p>
        </w:tc>
        <w:tc>
          <w:tcPr>
            <w:tcW w:w="0" w:type="auto"/>
            <w:vAlign w:val="center"/>
            <w:hideMark/>
          </w:tcPr>
          <w:p w14:paraId="628DC551"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التضخم، فقدان قيمة الدينار، القيود على السحب بالعملة الأجنبية، كلها عوامل تقلل من الثقة</w:t>
            </w:r>
            <w:r w:rsidRPr="00C248D4">
              <w:rPr>
                <w:rFonts w:ascii="Times New Roman" w:eastAsia="Times New Roman" w:hAnsi="Times New Roman" w:cs="Times New Roman"/>
                <w:kern w:val="0"/>
                <w:sz w:val="40"/>
                <w:szCs w:val="40"/>
                <w14:ligatures w14:val="none"/>
              </w:rPr>
              <w:t>.</w:t>
            </w:r>
          </w:p>
        </w:tc>
      </w:tr>
      <w:tr w:rsidR="00C248D4" w:rsidRPr="00C248D4" w14:paraId="3140F6A7" w14:textId="77777777" w:rsidTr="00C248D4">
        <w:trPr>
          <w:tblCellSpacing w:w="15" w:type="dxa"/>
        </w:trPr>
        <w:tc>
          <w:tcPr>
            <w:tcW w:w="0" w:type="auto"/>
            <w:vAlign w:val="center"/>
            <w:hideMark/>
          </w:tcPr>
          <w:p w14:paraId="2FB035EB"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ضعف الخدمات البنكية والأساليب الحديثة</w:t>
            </w:r>
          </w:p>
        </w:tc>
        <w:tc>
          <w:tcPr>
            <w:tcW w:w="0" w:type="auto"/>
            <w:vAlign w:val="center"/>
            <w:hideMark/>
          </w:tcPr>
          <w:p w14:paraId="16115044"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ضعف استخدام التكنولوجيا المالية، ضعف البنية الرقمية، الخدمات البنكية التقليدية لا تلبي توقعات العميل</w:t>
            </w:r>
            <w:r w:rsidRPr="00C248D4">
              <w:rPr>
                <w:rFonts w:ascii="Times New Roman" w:eastAsia="Times New Roman" w:hAnsi="Times New Roman" w:cs="Times New Roman"/>
                <w:kern w:val="0"/>
                <w:sz w:val="40"/>
                <w:szCs w:val="40"/>
                <w14:ligatures w14:val="none"/>
              </w:rPr>
              <w:t>.</w:t>
            </w:r>
          </w:p>
        </w:tc>
      </w:tr>
      <w:tr w:rsidR="00C248D4" w:rsidRPr="00C248D4" w14:paraId="61F64730" w14:textId="77777777" w:rsidTr="00C248D4">
        <w:trPr>
          <w:tblCellSpacing w:w="15" w:type="dxa"/>
        </w:trPr>
        <w:tc>
          <w:tcPr>
            <w:tcW w:w="0" w:type="auto"/>
            <w:vAlign w:val="center"/>
            <w:hideMark/>
          </w:tcPr>
          <w:p w14:paraId="2443361E"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 xml:space="preserve">المخاطر </w:t>
            </w:r>
            <w:proofErr w:type="spellStart"/>
            <w:r w:rsidRPr="00C248D4">
              <w:rPr>
                <w:rFonts w:ascii="Times New Roman" w:eastAsia="Times New Roman" w:hAnsi="Times New Roman" w:cs="Times New Roman"/>
                <w:kern w:val="0"/>
                <w:sz w:val="40"/>
                <w:szCs w:val="40"/>
                <w:rtl/>
                <w14:ligatures w14:val="none"/>
              </w:rPr>
              <w:t>الساسية</w:t>
            </w:r>
            <w:proofErr w:type="spellEnd"/>
            <w:r w:rsidRPr="00C248D4">
              <w:rPr>
                <w:rFonts w:ascii="Times New Roman" w:eastAsia="Times New Roman" w:hAnsi="Times New Roman" w:cs="Times New Roman"/>
                <w:kern w:val="0"/>
                <w:sz w:val="40"/>
                <w:szCs w:val="40"/>
                <w:rtl/>
                <w14:ligatures w14:val="none"/>
              </w:rPr>
              <w:t xml:space="preserve"> والسياسية</w:t>
            </w:r>
          </w:p>
        </w:tc>
        <w:tc>
          <w:tcPr>
            <w:tcW w:w="0" w:type="auto"/>
            <w:vAlign w:val="center"/>
            <w:hideMark/>
          </w:tcPr>
          <w:p w14:paraId="417FE162"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الأزمات الأمنية، الفساد، غياب الاستقرار السياسي تؤثر على قدرة المصارف والمودعين على اتخاذ قرارات طويلة الأجل</w:t>
            </w:r>
            <w:r w:rsidRPr="00C248D4">
              <w:rPr>
                <w:rFonts w:ascii="Times New Roman" w:eastAsia="Times New Roman" w:hAnsi="Times New Roman" w:cs="Times New Roman"/>
                <w:kern w:val="0"/>
                <w:sz w:val="40"/>
                <w:szCs w:val="40"/>
                <w14:ligatures w14:val="none"/>
              </w:rPr>
              <w:t>.</w:t>
            </w:r>
          </w:p>
        </w:tc>
      </w:tr>
      <w:tr w:rsidR="00C248D4" w:rsidRPr="00C248D4" w14:paraId="232305D6" w14:textId="77777777" w:rsidTr="00C248D4">
        <w:trPr>
          <w:tblCellSpacing w:w="15" w:type="dxa"/>
        </w:trPr>
        <w:tc>
          <w:tcPr>
            <w:tcW w:w="0" w:type="auto"/>
            <w:vAlign w:val="center"/>
            <w:hideMark/>
          </w:tcPr>
          <w:p w14:paraId="4015ED6E"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السيولة والمخاطر المصرفية</w:t>
            </w:r>
          </w:p>
        </w:tc>
        <w:tc>
          <w:tcPr>
            <w:tcW w:w="0" w:type="auto"/>
            <w:vAlign w:val="center"/>
            <w:hideMark/>
          </w:tcPr>
          <w:p w14:paraId="24426B81" w14:textId="77777777" w:rsidR="00C248D4" w:rsidRPr="00C248D4" w:rsidRDefault="00C248D4" w:rsidP="00C248D4">
            <w:pPr>
              <w:bidi/>
              <w:spacing w:after="0"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بعض المصارف قد تعاني من نقص السيولة، أو من مخاطر عالية، مما يرفع احتمال الفشل إن لم يتم مراقبة الممارسات</w:t>
            </w:r>
            <w:r w:rsidRPr="00C248D4">
              <w:rPr>
                <w:rFonts w:ascii="Times New Roman" w:eastAsia="Times New Roman" w:hAnsi="Times New Roman" w:cs="Times New Roman"/>
                <w:kern w:val="0"/>
                <w:sz w:val="40"/>
                <w:szCs w:val="40"/>
                <w14:ligatures w14:val="none"/>
              </w:rPr>
              <w:t>.</w:t>
            </w:r>
          </w:p>
        </w:tc>
      </w:tr>
    </w:tbl>
    <w:p w14:paraId="11A3B1A5" w14:textId="77777777" w:rsidR="00C248D4" w:rsidRPr="00C248D4" w:rsidRDefault="00000000" w:rsidP="00C248D4">
      <w:pPr>
        <w:bidi/>
        <w:spacing w:after="0" w:line="240" w:lineRule="auto"/>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pict w14:anchorId="7E9CA2DB">
          <v:rect id="_x0000_i1028" style="width:0;height:1.5pt" o:hralign="right" o:hrstd="t" o:hr="t" fillcolor="#a0a0a0" stroked="f"/>
        </w:pict>
      </w:r>
    </w:p>
    <w:p w14:paraId="4FE2C4AF" w14:textId="77777777" w:rsidR="00C248D4" w:rsidRPr="00C248D4" w:rsidRDefault="00C248D4" w:rsidP="00C248D4">
      <w:pPr>
        <w:bidi/>
        <w:spacing w:before="100" w:beforeAutospacing="1" w:after="100" w:afterAutospacing="1" w:line="240" w:lineRule="auto"/>
        <w:outlineLvl w:val="1"/>
        <w:rPr>
          <w:rFonts w:ascii="Times New Roman" w:eastAsia="Times New Roman" w:hAnsi="Times New Roman" w:cs="Times New Roman"/>
          <w:b/>
          <w:bCs/>
          <w:kern w:val="0"/>
          <w:sz w:val="40"/>
          <w:szCs w:val="40"/>
          <w14:ligatures w14:val="none"/>
        </w:rPr>
      </w:pPr>
      <w:r w:rsidRPr="00C248D4">
        <w:rPr>
          <w:rFonts w:ascii="Times New Roman" w:eastAsia="Times New Roman" w:hAnsi="Times New Roman" w:cs="Times New Roman"/>
          <w:b/>
          <w:bCs/>
          <w:kern w:val="0"/>
          <w:sz w:val="40"/>
          <w:szCs w:val="40"/>
          <w:rtl/>
          <w14:ligatures w14:val="none"/>
        </w:rPr>
        <w:t>توصيات مقترحة لإعادة الثقة</w:t>
      </w:r>
    </w:p>
    <w:p w14:paraId="49A03AD3" w14:textId="77777777" w:rsidR="00C248D4" w:rsidRPr="00C248D4" w:rsidRDefault="00C248D4" w:rsidP="00C248D4">
      <w:p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لضمان أن يكون دور مؤسسات الودائع فاعلاً، هذه بعض التوصيات</w:t>
      </w:r>
      <w:r w:rsidRPr="00C248D4">
        <w:rPr>
          <w:rFonts w:ascii="Times New Roman" w:eastAsia="Times New Roman" w:hAnsi="Times New Roman" w:cs="Times New Roman"/>
          <w:kern w:val="0"/>
          <w:sz w:val="40"/>
          <w:szCs w:val="40"/>
          <w14:ligatures w14:val="none"/>
        </w:rPr>
        <w:t>:</w:t>
      </w:r>
    </w:p>
    <w:p w14:paraId="22FD94E9" w14:textId="77777777" w:rsidR="00C248D4" w:rsidRPr="00C248D4" w:rsidRDefault="00C248D4" w:rsidP="00C248D4">
      <w:pPr>
        <w:numPr>
          <w:ilvl w:val="0"/>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lastRenderedPageBreak/>
        <w:t>تفعيل قانون ضمان الودائع</w:t>
      </w:r>
    </w:p>
    <w:p w14:paraId="75466377"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تحديد سقوف التعويض، وضمان تغطية أوسع، وضمان أن يكون هذا النظام معترفاً به قانونياً وفعّالاً عملياً</w:t>
      </w:r>
      <w:r w:rsidRPr="00C248D4">
        <w:rPr>
          <w:rFonts w:ascii="Times New Roman" w:eastAsia="Times New Roman" w:hAnsi="Times New Roman" w:cs="Times New Roman"/>
          <w:kern w:val="0"/>
          <w:sz w:val="40"/>
          <w:szCs w:val="40"/>
          <w14:ligatures w14:val="none"/>
        </w:rPr>
        <w:t>.</w:t>
      </w:r>
    </w:p>
    <w:p w14:paraId="2862CE9C" w14:textId="77777777" w:rsidR="00C248D4" w:rsidRPr="00C248D4" w:rsidRDefault="00C248D4" w:rsidP="00C248D4">
      <w:pPr>
        <w:numPr>
          <w:ilvl w:val="0"/>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تعزيز الشفافية والإفصاح</w:t>
      </w:r>
    </w:p>
    <w:p w14:paraId="719CEC3E"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نشر تقارير سنوية عن الوضع المالي للمصارف، مستوى السيولة، المخاطر، مدى التزامها بالضوابط</w:t>
      </w:r>
      <w:r w:rsidRPr="00C248D4">
        <w:rPr>
          <w:rFonts w:ascii="Times New Roman" w:eastAsia="Times New Roman" w:hAnsi="Times New Roman" w:cs="Times New Roman"/>
          <w:kern w:val="0"/>
          <w:sz w:val="40"/>
          <w:szCs w:val="40"/>
          <w14:ligatures w14:val="none"/>
        </w:rPr>
        <w:t>.</w:t>
      </w:r>
    </w:p>
    <w:p w14:paraId="2C2001DB"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تحسين ثقة المودعين من خلال حملات توعية تشرح ما هو ضمان الودائع وما هي حقوق المودعين</w:t>
      </w:r>
      <w:r w:rsidRPr="00C248D4">
        <w:rPr>
          <w:rFonts w:ascii="Times New Roman" w:eastAsia="Times New Roman" w:hAnsi="Times New Roman" w:cs="Times New Roman"/>
          <w:kern w:val="0"/>
          <w:sz w:val="40"/>
          <w:szCs w:val="40"/>
          <w14:ligatures w14:val="none"/>
        </w:rPr>
        <w:t>.</w:t>
      </w:r>
    </w:p>
    <w:p w14:paraId="62F407CC" w14:textId="77777777" w:rsidR="00C248D4" w:rsidRPr="00C248D4" w:rsidRDefault="00C248D4" w:rsidP="00C248D4">
      <w:pPr>
        <w:numPr>
          <w:ilvl w:val="0"/>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تقوية الرقابة البنكية</w:t>
      </w:r>
    </w:p>
    <w:p w14:paraId="46DC03C3"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ضرورة أن يكون الرقابة من البنك المركزي نشطة وفعّالة، مع صلاحيات واضحة للتدخل عند وجود مخاطر</w:t>
      </w:r>
      <w:r w:rsidRPr="00C248D4">
        <w:rPr>
          <w:rFonts w:ascii="Times New Roman" w:eastAsia="Times New Roman" w:hAnsi="Times New Roman" w:cs="Times New Roman"/>
          <w:kern w:val="0"/>
          <w:sz w:val="40"/>
          <w:szCs w:val="40"/>
          <w14:ligatures w14:val="none"/>
        </w:rPr>
        <w:t>.</w:t>
      </w:r>
    </w:p>
    <w:p w14:paraId="018923D7"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إشراك الجهات المختصة المستقلة، وربما التعاون مع مؤسسات دولية لضمان معايير الرقابة العالمية</w:t>
      </w:r>
      <w:r w:rsidRPr="00C248D4">
        <w:rPr>
          <w:rFonts w:ascii="Times New Roman" w:eastAsia="Times New Roman" w:hAnsi="Times New Roman" w:cs="Times New Roman"/>
          <w:kern w:val="0"/>
          <w:sz w:val="40"/>
          <w:szCs w:val="40"/>
          <w14:ligatures w14:val="none"/>
        </w:rPr>
        <w:t>.</w:t>
      </w:r>
    </w:p>
    <w:p w14:paraId="053093F9" w14:textId="77777777" w:rsidR="00C248D4" w:rsidRPr="00C248D4" w:rsidRDefault="00C248D4" w:rsidP="00C248D4">
      <w:pPr>
        <w:numPr>
          <w:ilvl w:val="0"/>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تطوير الخدمات البنكية الرقمية</w:t>
      </w:r>
    </w:p>
    <w:p w14:paraId="33A97906"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الصيرفة الإلكترونية، الدفع الرقمي، الخدمات عبر الهاتف/ الإنترنت – تسهيل الوصول للخدمات، جلب الأشخاص خارج المنظومة البنكية</w:t>
      </w:r>
      <w:r w:rsidRPr="00C248D4">
        <w:rPr>
          <w:rFonts w:ascii="Times New Roman" w:eastAsia="Times New Roman" w:hAnsi="Times New Roman" w:cs="Times New Roman"/>
          <w:kern w:val="0"/>
          <w:sz w:val="40"/>
          <w:szCs w:val="40"/>
          <w14:ligatures w14:val="none"/>
        </w:rPr>
        <w:t>.</w:t>
      </w:r>
    </w:p>
    <w:p w14:paraId="079497AF"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تحسين الأمان السيبراني لضمان حماية أموال ومعلومات العملاء</w:t>
      </w:r>
      <w:r w:rsidRPr="00C248D4">
        <w:rPr>
          <w:rFonts w:ascii="Times New Roman" w:eastAsia="Times New Roman" w:hAnsi="Times New Roman" w:cs="Times New Roman"/>
          <w:kern w:val="0"/>
          <w:sz w:val="40"/>
          <w:szCs w:val="40"/>
          <w14:ligatures w14:val="none"/>
        </w:rPr>
        <w:t>.</w:t>
      </w:r>
    </w:p>
    <w:p w14:paraId="6A8BC71C" w14:textId="77777777" w:rsidR="00C248D4" w:rsidRPr="00C248D4" w:rsidRDefault="00C248D4" w:rsidP="00C248D4">
      <w:pPr>
        <w:numPr>
          <w:ilvl w:val="0"/>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ضمان استقرار العملة وتقليل التذبذبات</w:t>
      </w:r>
    </w:p>
    <w:p w14:paraId="0F627E04"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سياسات نقدية تقيّد التضخم، حماية قيمة العملة، وضمان أن العمليات البنكية، خاصة التحويلات بالعملة الأجنبية، تتم بشكل شفاف وعادل</w:t>
      </w:r>
      <w:r w:rsidRPr="00C248D4">
        <w:rPr>
          <w:rFonts w:ascii="Times New Roman" w:eastAsia="Times New Roman" w:hAnsi="Times New Roman" w:cs="Times New Roman"/>
          <w:kern w:val="0"/>
          <w:sz w:val="40"/>
          <w:szCs w:val="40"/>
          <w14:ligatures w14:val="none"/>
        </w:rPr>
        <w:t>.</w:t>
      </w:r>
    </w:p>
    <w:p w14:paraId="50890C69" w14:textId="77777777" w:rsidR="00C248D4" w:rsidRPr="00C248D4" w:rsidRDefault="00C248D4" w:rsidP="00C248D4">
      <w:pPr>
        <w:numPr>
          <w:ilvl w:val="0"/>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b/>
          <w:bCs/>
          <w:kern w:val="0"/>
          <w:sz w:val="40"/>
          <w:szCs w:val="40"/>
          <w:rtl/>
          <w14:ligatures w14:val="none"/>
        </w:rPr>
        <w:t>تعزيز الوعي المالي والثقة المجتمعية</w:t>
      </w:r>
    </w:p>
    <w:p w14:paraId="34ADF163"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حملات إعلامية وتثقيفية تبيّن فوائد إيداع الأموال في البنوك، التأكيد على الأمان والحماية القانونية</w:t>
      </w:r>
      <w:r w:rsidRPr="00C248D4">
        <w:rPr>
          <w:rFonts w:ascii="Times New Roman" w:eastAsia="Times New Roman" w:hAnsi="Times New Roman" w:cs="Times New Roman"/>
          <w:kern w:val="0"/>
          <w:sz w:val="40"/>
          <w:szCs w:val="40"/>
          <w14:ligatures w14:val="none"/>
        </w:rPr>
        <w:t>.</w:t>
      </w:r>
    </w:p>
    <w:p w14:paraId="10122342" w14:textId="77777777" w:rsidR="00C248D4" w:rsidRPr="00C248D4" w:rsidRDefault="00C248D4" w:rsidP="00C248D4">
      <w:pPr>
        <w:numPr>
          <w:ilvl w:val="1"/>
          <w:numId w:val="4"/>
        </w:numPr>
        <w:bidi/>
        <w:spacing w:before="100" w:beforeAutospacing="1" w:after="100" w:afterAutospacing="1" w:line="240" w:lineRule="auto"/>
        <w:rPr>
          <w:rFonts w:ascii="Times New Roman" w:eastAsia="Times New Roman" w:hAnsi="Times New Roman" w:cs="Times New Roman"/>
          <w:kern w:val="0"/>
          <w:sz w:val="40"/>
          <w:szCs w:val="40"/>
          <w14:ligatures w14:val="none"/>
        </w:rPr>
      </w:pPr>
      <w:r w:rsidRPr="00C248D4">
        <w:rPr>
          <w:rFonts w:ascii="Times New Roman" w:eastAsia="Times New Roman" w:hAnsi="Times New Roman" w:cs="Times New Roman"/>
          <w:kern w:val="0"/>
          <w:sz w:val="40"/>
          <w:szCs w:val="40"/>
          <w:rtl/>
          <w14:ligatures w14:val="none"/>
        </w:rPr>
        <w:t>إشراك المجتمع المدني والأكاديميات في تقييم السياسات البنكية وإعطاء تغذية راجعة</w:t>
      </w:r>
      <w:r w:rsidRPr="00C248D4">
        <w:rPr>
          <w:rFonts w:ascii="Times New Roman" w:eastAsia="Times New Roman" w:hAnsi="Times New Roman" w:cs="Times New Roman"/>
          <w:kern w:val="0"/>
          <w:sz w:val="40"/>
          <w:szCs w:val="40"/>
          <w14:ligatures w14:val="none"/>
        </w:rPr>
        <w:t>.</w:t>
      </w:r>
    </w:p>
    <w:p w14:paraId="419180AB" w14:textId="0601E4AF" w:rsidR="00C248D4" w:rsidRPr="00C248D4" w:rsidRDefault="00000000" w:rsidP="00C248D4">
      <w:pPr>
        <w:bidi/>
        <w:spacing w:after="0" w:line="240" w:lineRule="auto"/>
        <w:rPr>
          <w:rFonts w:ascii="Times New Roman" w:eastAsia="Times New Roman" w:hAnsi="Times New Roman" w:cs="Times New Roman"/>
          <w:kern w:val="0"/>
          <w:sz w:val="40"/>
          <w:szCs w:val="40"/>
          <w14:ligatures w14:val="none"/>
        </w:rPr>
      </w:pPr>
      <w:r>
        <w:rPr>
          <w:rFonts w:ascii="Times New Roman" w:eastAsia="Times New Roman" w:hAnsi="Times New Roman" w:cs="Times New Roman"/>
          <w:kern w:val="0"/>
          <w:sz w:val="40"/>
          <w:szCs w:val="40"/>
          <w14:ligatures w14:val="none"/>
        </w:rPr>
        <w:lastRenderedPageBreak/>
        <w:pict w14:anchorId="5A2097D4">
          <v:rect id="_x0000_i1029" style="width:0;height:1.5pt" o:hralign="right" o:hrstd="t" o:hr="t" fillcolor="#a0a0a0" stroked="f"/>
        </w:pict>
      </w:r>
    </w:p>
    <w:sectPr w:rsidR="00C248D4" w:rsidRPr="00C24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2D"/>
    <w:multiLevelType w:val="multilevel"/>
    <w:tmpl w:val="DC8C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B0394"/>
    <w:multiLevelType w:val="multilevel"/>
    <w:tmpl w:val="05DE5A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287BF2"/>
    <w:multiLevelType w:val="multilevel"/>
    <w:tmpl w:val="728826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E12BFD"/>
    <w:multiLevelType w:val="multilevel"/>
    <w:tmpl w:val="9574E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4005039">
    <w:abstractNumId w:val="0"/>
  </w:num>
  <w:num w:numId="2" w16cid:durableId="1421101482">
    <w:abstractNumId w:val="1"/>
  </w:num>
  <w:num w:numId="3" w16cid:durableId="949818705">
    <w:abstractNumId w:val="3"/>
  </w:num>
  <w:num w:numId="4" w16cid:durableId="1964532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8D4"/>
    <w:rsid w:val="00063647"/>
    <w:rsid w:val="00B05E3C"/>
    <w:rsid w:val="00C248D4"/>
    <w:rsid w:val="00C55C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1ACC"/>
  <w15:chartTrackingRefBased/>
  <w15:docId w15:val="{0B8937BE-A521-4D68-8084-91956EF1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E3C"/>
  </w:style>
  <w:style w:type="paragraph" w:styleId="Heading2">
    <w:name w:val="heading 2"/>
    <w:basedOn w:val="Normal"/>
    <w:link w:val="Heading2Char"/>
    <w:uiPriority w:val="9"/>
    <w:qFormat/>
    <w:rsid w:val="00C248D4"/>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E3C"/>
    <w:pPr>
      <w:ind w:left="720"/>
      <w:contextualSpacing/>
    </w:pPr>
  </w:style>
  <w:style w:type="character" w:customStyle="1" w:styleId="Heading2Char">
    <w:name w:val="Heading 2 Char"/>
    <w:basedOn w:val="DefaultParagraphFont"/>
    <w:link w:val="Heading2"/>
    <w:uiPriority w:val="9"/>
    <w:rsid w:val="00C248D4"/>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248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248D4"/>
    <w:rPr>
      <w:b/>
      <w:bCs/>
    </w:rPr>
  </w:style>
  <w:style w:type="character" w:styleId="Hyperlink">
    <w:name w:val="Hyperlink"/>
    <w:basedOn w:val="DefaultParagraphFont"/>
    <w:uiPriority w:val="99"/>
    <w:semiHidden/>
    <w:unhideWhenUsed/>
    <w:rsid w:val="00C248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i.iq/news/print_news/1974?utm_source=chatgpt.com" TargetMode="External"/><Relationship Id="rId3" Type="http://schemas.openxmlformats.org/officeDocument/2006/relationships/settings" Target="settings.xml"/><Relationship Id="rId7" Type="http://schemas.openxmlformats.org/officeDocument/2006/relationships/hyperlink" Target="https://nirij.org/en/2024/04/19/iraqis-turn-to-real-estate-amid-banking-trust-issues/?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rij.org/en/2024/04/19/iraqis-turn-to-real-estate-amid-banking-trust-issues/?utm_source=chatgpt.com" TargetMode="External"/><Relationship Id="rId11" Type="http://schemas.openxmlformats.org/officeDocument/2006/relationships/fontTable" Target="fontTable.xml"/><Relationship Id="rId5" Type="http://schemas.openxmlformats.org/officeDocument/2006/relationships/hyperlink" Target="https://www.rudaw.net/english/middleeast/iraq/18102023?utm_source=chatgpt.com" TargetMode="External"/><Relationship Id="rId10" Type="http://schemas.openxmlformats.org/officeDocument/2006/relationships/hyperlink" Target="https://www.ifc.org/ar/pressroom/2024/ifc-and-central-bank-of-iraq-join-forces-to-improve-sustainable-financing-in-iraq?utm_source=chatgpt.com" TargetMode="External"/><Relationship Id="rId4" Type="http://schemas.openxmlformats.org/officeDocument/2006/relationships/webSettings" Target="webSettings.xml"/><Relationship Id="rId9" Type="http://schemas.openxmlformats.org/officeDocument/2006/relationships/hyperlink" Target="https://www.ifc.org/ar/pressroom/2024/ifc-and-central-bank-of-iraq-join-forces-to-improve-sustainable-financing-in-iraq?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967</Words>
  <Characters>5512</Characters>
  <Application>Microsoft Office Word</Application>
  <DocSecurity>0</DocSecurity>
  <Lines>45</Lines>
  <Paragraphs>12</Paragraphs>
  <ScaleCrop>false</ScaleCrop>
  <Company>SACC</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2025-11-15T19:00:00Z</dcterms:created>
  <dcterms:modified xsi:type="dcterms:W3CDTF">2025-11-15T19:00:00Z</dcterms:modified>
</cp:coreProperties>
</file>