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71E" w:rsidRDefault="0006671E" w:rsidP="0006671E">
      <w:pPr>
        <w:bidi/>
        <w:jc w:val="center"/>
        <w:rPr>
          <w:sz w:val="36"/>
          <w:szCs w:val="36"/>
          <w:rtl/>
        </w:rPr>
      </w:pPr>
      <w:r w:rsidRPr="00752131">
        <w:rPr>
          <w:rFonts w:hint="cs"/>
          <w:noProof/>
          <w:sz w:val="36"/>
          <w:szCs w:val="36"/>
        </w:rPr>
        <mc:AlternateContent>
          <mc:Choice Requires="wps">
            <w:drawing>
              <wp:inline distT="0" distB="0" distL="0" distR="0" wp14:anchorId="33366A0A" wp14:editId="498EC25F">
                <wp:extent cx="4083050" cy="317500"/>
                <wp:effectExtent l="0" t="0" r="0" b="0"/>
                <wp:docPr id="4626641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83050" cy="317500"/>
                        </a:xfrm>
                        <a:prstGeom prst="rect">
                          <a:avLst/>
                        </a:prstGeom>
                      </wps:spPr>
                      <wps:txbx>
                        <w:txbxContent>
                          <w:p w:rsidR="0006671E" w:rsidRPr="00E42F0A" w:rsidRDefault="0006671E" w:rsidP="0006671E">
                            <w:pPr>
                              <w:bidi/>
                              <w:jc w:val="center"/>
                              <w:rPr>
                                <w:rFonts w:ascii="Impact"/>
                                <w:color w:val="0066CC"/>
                                <w:kern w:val="0"/>
                                <w:sz w:val="36"/>
                                <w:szCs w:val="36"/>
                                <w:lang w:bidi="ar-IQ"/>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14:ligatures w14:val="none"/>
                              </w:rPr>
                            </w:pPr>
                            <w:r>
                              <w:rPr>
                                <w:rFonts w:ascii="Impact" w:hint="cs"/>
                                <w:color w:val="0066CC"/>
                                <w:sz w:val="36"/>
                                <w:szCs w:val="36"/>
                                <w:rtl/>
                                <w:lang w:bidi="ar-IQ"/>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المدخل السلطوي (التوجيهي) لبناء النظرية المحاسبية</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321.5pt;height: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" filled="f" stroked="f">
                <o:lock v:ext="edit" text="t" shapetype="t"/>
                <v:textbox style="mso-fit-shape-to-text:t">
                  <w:txbxContent>
                    <w:p w:rsidR="0006671E" w:rsidRPr="00E42F0A" w:rsidRDefault="0006671E" w:rsidP="0006671E">
                      <w:pPr>
                        <w:bidi/>
                        <w:jc w:val="center"/>
                        <w:rPr>
                          <w:rFonts w:ascii="Impact"/>
                          <w:color w:val="0066CC"/>
                          <w:kern w:val="0"/>
                          <w:sz w:val="36"/>
                          <w:szCs w:val="36"/>
                          <w:lang w:bidi="ar-IQ"/>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14:ligatures w14:val="none"/>
                        </w:rPr>
                      </w:pPr>
                      <w:r>
                        <w:rPr>
                          <w:rFonts w:ascii="Impact" w:hint="cs"/>
                          <w:color w:val="0066CC"/>
                          <w:sz w:val="36"/>
                          <w:szCs w:val="36"/>
                          <w:rtl/>
                          <w:lang w:bidi="ar-IQ"/>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المدخل السلطوي (التوجيهي) لبناء النظرية المحاسبية</w:t>
                      </w:r>
                    </w:p>
                  </w:txbxContent>
                </v:textbox>
                <w10:wrap anchorx="page"/>
                <w10:anchorlock/>
              </v:shape>
            </w:pict>
          </mc:Fallback>
        </mc:AlternateContent>
      </w:r>
    </w:p>
    <w:p w:rsidR="0006671E" w:rsidRDefault="0006671E" w:rsidP="0006671E">
      <w:pPr>
        <w:bidi/>
        <w:spacing w:line="360" w:lineRule="auto"/>
        <w:jc w:val="both"/>
        <w:rPr>
          <w:b/>
          <w:bCs/>
          <w:sz w:val="28"/>
          <w:szCs w:val="28"/>
          <w:rtl/>
        </w:rPr>
      </w:pPr>
    </w:p>
    <w:p w:rsidR="0006671E" w:rsidRPr="00CB6979" w:rsidRDefault="0006671E" w:rsidP="0006671E">
      <w:pPr>
        <w:pStyle w:val="ListParagraph"/>
        <w:numPr>
          <w:ilvl w:val="0"/>
          <w:numId w:val="2"/>
        </w:numPr>
        <w:bidi/>
        <w:spacing w:line="360" w:lineRule="auto"/>
        <w:jc w:val="both"/>
        <w:rPr>
          <w:b/>
          <w:bCs/>
          <w:sz w:val="28"/>
          <w:szCs w:val="28"/>
          <w:rtl/>
        </w:rPr>
      </w:pPr>
      <w:r w:rsidRPr="00CB6979">
        <w:rPr>
          <w:rFonts w:hint="cs"/>
          <w:b/>
          <w:bCs/>
          <w:sz w:val="28"/>
          <w:szCs w:val="28"/>
          <w:rtl/>
        </w:rPr>
        <w:t>المقدمة</w:t>
      </w:r>
    </w:p>
    <w:p w:rsidR="0006671E" w:rsidRPr="00AC3264" w:rsidRDefault="0006671E" w:rsidP="0006671E">
      <w:pPr>
        <w:bidi/>
        <w:spacing w:line="360" w:lineRule="auto"/>
        <w:rPr>
          <w:sz w:val="28"/>
          <w:szCs w:val="28"/>
          <w:rtl/>
        </w:rPr>
      </w:pPr>
      <w:r w:rsidRPr="00AC3264">
        <w:rPr>
          <w:rFonts w:cs="Arial"/>
          <w:sz w:val="28"/>
          <w:szCs w:val="28"/>
          <w:rtl/>
        </w:rPr>
        <w:t xml:space="preserve">إن وضع المعايير </w:t>
      </w:r>
      <w:r w:rsidRPr="00AC3264">
        <w:rPr>
          <w:rFonts w:cs="Arial" w:hint="cs"/>
          <w:sz w:val="28"/>
          <w:szCs w:val="28"/>
          <w:rtl/>
        </w:rPr>
        <w:t>وإلزام</w:t>
      </w:r>
      <w:r w:rsidRPr="00AC3264">
        <w:rPr>
          <w:rFonts w:cs="Arial"/>
          <w:sz w:val="28"/>
          <w:szCs w:val="28"/>
          <w:rtl/>
        </w:rPr>
        <w:t xml:space="preserve"> وتطبيقها بالنسبة لأهمية اللغة بالنسبة لمهنة المحاسبة مشكلة أساسية، وذلك لاستخدامي المعلومات المحاسبية الصالحة وذوي المصلحة، وأن تحديد أفضل آلية لكي تستخدم في وضع معايير محاسبية موحدة</w:t>
      </w:r>
      <w:r w:rsidRPr="00AC3264">
        <w:rPr>
          <w:sz w:val="28"/>
          <w:szCs w:val="28"/>
        </w:rPr>
        <w:t xml:space="preserve"> uniform </w:t>
      </w:r>
      <w:r w:rsidRPr="00AC3264">
        <w:rPr>
          <w:rFonts w:cs="Arial"/>
          <w:sz w:val="28"/>
          <w:szCs w:val="28"/>
          <w:rtl/>
        </w:rPr>
        <w:t>هي أيضاً مسألة مهمة لقبول المعايير المحاسبية وتطبيقها. فهل يجب توظيف مدخل القطاع الخاص، أو مدخل القطاع العام، أو مدخل السوق الحر، أو مدخل القطاع الخاص؟</w:t>
      </w:r>
      <w:r w:rsidRPr="00AC3264">
        <w:rPr>
          <w:sz w:val="28"/>
          <w:szCs w:val="28"/>
        </w:rPr>
        <w:t xml:space="preserve"> </w:t>
      </w:r>
    </w:p>
    <w:p w:rsidR="0006671E" w:rsidRPr="00AC3264" w:rsidRDefault="0006671E" w:rsidP="0006671E">
      <w:pPr>
        <w:bidi/>
        <w:spacing w:line="360" w:lineRule="auto"/>
        <w:rPr>
          <w:sz w:val="28"/>
          <w:szCs w:val="28"/>
          <w:rtl/>
        </w:rPr>
      </w:pPr>
      <w:r w:rsidRPr="00AC3264">
        <w:rPr>
          <w:rFonts w:cs="Arial"/>
          <w:sz w:val="28"/>
          <w:szCs w:val="28"/>
          <w:rtl/>
        </w:rPr>
        <w:t xml:space="preserve">فيستند هذا الفصل إلى دراسة حول مزايا ومنافع كل مدخل من هذه المداخل، ولكن أولاً سنقوم بشرح المطلوب الطبيعي للمعايير المحاسبية، ونجدد المنظمات والهيئات ذات العلاقة بالمعايير المحاسبية، ويتبع ذلك الخطوات الطبيعية لتطوير المعايير المحاسبية. وينتهي الفصل باستعراض </w:t>
      </w:r>
      <w:r>
        <w:rPr>
          <w:rFonts w:cs="Arial" w:hint="cs"/>
          <w:sz w:val="28"/>
          <w:szCs w:val="28"/>
          <w:rtl/>
        </w:rPr>
        <w:t>مشروعية</w:t>
      </w:r>
      <w:r w:rsidRPr="00AC3264">
        <w:rPr>
          <w:rFonts w:cs="Arial"/>
          <w:sz w:val="28"/>
          <w:szCs w:val="28"/>
          <w:rtl/>
        </w:rPr>
        <w:t xml:space="preserve"> عملية وضع المعايير وكذلك مشكلة عدم قبول المعايير</w:t>
      </w:r>
      <w:r w:rsidRPr="00AC3264">
        <w:rPr>
          <w:sz w:val="28"/>
          <w:szCs w:val="28"/>
        </w:rPr>
        <w:t>.</w:t>
      </w:r>
    </w:p>
    <w:p w:rsidR="0006671E" w:rsidRPr="008E34EE" w:rsidRDefault="0006671E" w:rsidP="0006671E">
      <w:pPr>
        <w:pStyle w:val="ListParagraph"/>
        <w:numPr>
          <w:ilvl w:val="0"/>
          <w:numId w:val="2"/>
        </w:numPr>
        <w:bidi/>
        <w:spacing w:line="360" w:lineRule="auto"/>
        <w:jc w:val="both"/>
        <w:rPr>
          <w:b/>
          <w:bCs/>
          <w:sz w:val="28"/>
          <w:szCs w:val="28"/>
          <w:rtl/>
        </w:rPr>
      </w:pPr>
      <w:r w:rsidRPr="008E34EE">
        <w:rPr>
          <w:b/>
          <w:bCs/>
          <w:sz w:val="28"/>
          <w:szCs w:val="28"/>
          <w:rtl/>
        </w:rPr>
        <w:t>تعريف المدخل السلطوي وأهميته في بناء النظرية المحاسبية</w:t>
      </w:r>
    </w:p>
    <w:p w:rsidR="0006671E" w:rsidRDefault="0006671E" w:rsidP="0006671E">
      <w:pPr>
        <w:bidi/>
        <w:spacing w:line="360" w:lineRule="auto"/>
        <w:jc w:val="both"/>
        <w:rPr>
          <w:rFonts w:cs="Arial"/>
          <w:sz w:val="28"/>
          <w:szCs w:val="28"/>
          <w:rtl/>
        </w:rPr>
      </w:pPr>
      <w:r w:rsidRPr="00CF1B7C">
        <w:rPr>
          <w:rFonts w:cs="Arial"/>
          <w:sz w:val="28"/>
          <w:szCs w:val="28"/>
          <w:rtl/>
        </w:rPr>
        <w:t>المدخل السلطوي (</w:t>
      </w:r>
      <w:r w:rsidRPr="00CF1B7C">
        <w:rPr>
          <w:rFonts w:cs="Arial"/>
          <w:sz w:val="28"/>
          <w:szCs w:val="28"/>
        </w:rPr>
        <w:t>Authoritarian Approach</w:t>
      </w:r>
      <w:r w:rsidRPr="00CF1B7C">
        <w:rPr>
          <w:rFonts w:cs="Arial"/>
          <w:sz w:val="28"/>
          <w:szCs w:val="28"/>
          <w:rtl/>
        </w:rPr>
        <w:t>) هو منهج لبناء النظرية المحاسبية يعتمد على فرض المعايير والقواعد المحاسبية من قبل جهات رسمية أو منظمات مهنية ذات سلطة، بهدف توحيد الممارسات وإلزام المحاسبين باتباعها لضمان اتساق التقارير المالية. تكمن أهميته في تحقيق التوافق والمقبولية العامة، وتوفير إطار تنظيم</w:t>
      </w:r>
      <w:r>
        <w:rPr>
          <w:rFonts w:cs="Arial" w:hint="cs"/>
          <w:sz w:val="28"/>
          <w:szCs w:val="28"/>
          <w:rtl/>
        </w:rPr>
        <w:t xml:space="preserve">. </w:t>
      </w:r>
    </w:p>
    <w:p w:rsidR="0006671E" w:rsidRPr="00CF1B7C" w:rsidRDefault="0006671E" w:rsidP="0006671E">
      <w:pPr>
        <w:bidi/>
        <w:spacing w:line="360" w:lineRule="auto"/>
        <w:jc w:val="lowKashida"/>
        <w:rPr>
          <w:rFonts w:cs="Arial"/>
          <w:sz w:val="28"/>
          <w:szCs w:val="28"/>
          <w:rtl/>
        </w:rPr>
      </w:pPr>
      <w:r>
        <w:rPr>
          <w:rFonts w:cs="Arial" w:hint="cs"/>
          <w:sz w:val="28"/>
          <w:szCs w:val="28"/>
          <w:rtl/>
        </w:rPr>
        <w:t xml:space="preserve">ان </w:t>
      </w:r>
      <w:r w:rsidRPr="00CF1B7C">
        <w:rPr>
          <w:rFonts w:cs="Arial"/>
          <w:sz w:val="28"/>
          <w:szCs w:val="28"/>
          <w:rtl/>
        </w:rPr>
        <w:t>بناء النظرية المحاسبية يمثل عملية منظمة ومنهجية، تهدف إلى تشكيل إطار متكامل يشمل الأهداف، الافتراضات الأساسية، والعناصر الرئيسية التي تفسر التقارير المالية وتبرر الإجراءات المحاسبية المعتمدة. في هذا السياق، يبرز المدخل السلطوي كنهج أساسي يعتمد على المعايير المحاسبية كآلية مركزية لتطوير النظرية، حيث يعول على الهيئات التنظيمية الخارجية مثل لجنة الأوراق المالية والبورصات</w:t>
      </w:r>
      <w:r w:rsidRPr="00CF1B7C">
        <w:rPr>
          <w:rFonts w:cs="Arial"/>
          <w:sz w:val="28"/>
          <w:szCs w:val="28"/>
        </w:rPr>
        <w:t xml:space="preserve"> (SEC) </w:t>
      </w:r>
      <w:r w:rsidRPr="00CF1B7C">
        <w:rPr>
          <w:rFonts w:cs="Arial"/>
          <w:sz w:val="28"/>
          <w:szCs w:val="28"/>
          <w:rtl/>
        </w:rPr>
        <w:t>في الولايات المتحدة، ومجلس المعايير المحاسبية المالية</w:t>
      </w:r>
      <w:r w:rsidRPr="00CF1B7C">
        <w:rPr>
          <w:rFonts w:cs="Arial"/>
          <w:sz w:val="28"/>
          <w:szCs w:val="28"/>
        </w:rPr>
        <w:t xml:space="preserve"> (FASB)</w:t>
      </w:r>
      <w:r w:rsidRPr="00CF1B7C">
        <w:rPr>
          <w:rFonts w:cs="Arial"/>
          <w:sz w:val="28"/>
          <w:szCs w:val="28"/>
          <w:rtl/>
        </w:rPr>
        <w:t>، ومجلس المعايير المحاسبية الدولية</w:t>
      </w:r>
      <w:r w:rsidRPr="00CF1B7C">
        <w:rPr>
          <w:rFonts w:cs="Arial"/>
          <w:sz w:val="28"/>
          <w:szCs w:val="28"/>
        </w:rPr>
        <w:t xml:space="preserve"> (IASB) </w:t>
      </w:r>
      <w:r w:rsidRPr="00CF1B7C">
        <w:rPr>
          <w:rFonts w:cs="Arial"/>
          <w:sz w:val="28"/>
          <w:szCs w:val="28"/>
          <w:rtl/>
        </w:rPr>
        <w:t xml:space="preserve">لفرض المبادئ والقواعد التي تشكل أساس النظرية. يختلف هذا المدخل عن المناهج التقليدية، مثل الاستنتاجي الذي ينطلق من مبادئ عامة لاستخلاص استنتاجات محددة، أو الاستقرائي الذي يبني مبادئ عامة من ملاحظات </w:t>
      </w:r>
      <w:r w:rsidRPr="00CF1B7C">
        <w:rPr>
          <w:rFonts w:cs="Arial"/>
          <w:sz w:val="28"/>
          <w:szCs w:val="28"/>
          <w:rtl/>
        </w:rPr>
        <w:lastRenderedPageBreak/>
        <w:t>خاصة، إذ يركز المدخل السلطوي على السلطة التنظيمية كمصدر للشرعية والتوحيد القياسي.يُبرر أهمية المدخل السلطوي بقدرته على مواجهة التنوع في البيئات المحاسبية العالمية، حيث لا تزال غائبة نظرية محاسبية موحدة متفق عليها دولياً. في غياب تنظيم سلطوي قوي، قد تؤدي المنافسة بين النظريات المتنوعة إلى اضطراب في التقارير المالية، مما يعرقل عمليات اتخاذ القرارات الاستثمارية ويقلل من الثقة في الأسواق. تاريخياً، ساهمت الأزمات الاقتصادية، مثل انهيار السوق في الثلاثينيات، في تعزيز هذا المدخل من خلال قوانين مثل قانون الأوراق المالية لعام 1933 وقانون البورصات لعام 1934 في الولايات المتحدة، والتي ألزمت الشركات بالالتزام بمعايير محاسبية موحدة. وفي السياق الحديث، يستمر هذا النهج في التطور لمواجهة التحديات المعاصرة، كما يتضح من إصدار</w:t>
      </w:r>
      <w:r w:rsidRPr="00CF1B7C">
        <w:rPr>
          <w:rFonts w:cs="Arial"/>
          <w:sz w:val="28"/>
          <w:szCs w:val="28"/>
        </w:rPr>
        <w:t xml:space="preserve"> FASB </w:t>
      </w:r>
      <w:r w:rsidRPr="00CF1B7C">
        <w:rPr>
          <w:rFonts w:cs="Arial"/>
          <w:sz w:val="28"/>
          <w:szCs w:val="28"/>
          <w:rtl/>
        </w:rPr>
        <w:t>لتحديثات معايير المحاسبة</w:t>
      </w:r>
      <w:r w:rsidRPr="00CF1B7C">
        <w:rPr>
          <w:rFonts w:cs="Arial"/>
          <w:sz w:val="28"/>
          <w:szCs w:val="28"/>
        </w:rPr>
        <w:t xml:space="preserve"> (ASUs) </w:t>
      </w:r>
      <w:r w:rsidRPr="00CF1B7C">
        <w:rPr>
          <w:rFonts w:cs="Arial"/>
          <w:sz w:val="28"/>
          <w:szCs w:val="28"/>
          <w:rtl/>
        </w:rPr>
        <w:t>في عامي 2025 و2026، مثل</w:t>
      </w:r>
      <w:r w:rsidRPr="00CF1B7C">
        <w:rPr>
          <w:rFonts w:cs="Arial"/>
          <w:sz w:val="28"/>
          <w:szCs w:val="28"/>
        </w:rPr>
        <w:t xml:space="preserve"> ASU 2025-12 </w:t>
      </w:r>
      <w:r w:rsidRPr="00CF1B7C">
        <w:rPr>
          <w:rFonts w:cs="Arial"/>
          <w:sz w:val="28"/>
          <w:szCs w:val="28"/>
          <w:rtl/>
        </w:rPr>
        <w:t>المتعلق بتحسينات التصنيف، و</w:t>
      </w:r>
      <w:r w:rsidRPr="00CF1B7C">
        <w:rPr>
          <w:rFonts w:cs="Arial"/>
          <w:sz w:val="28"/>
          <w:szCs w:val="28"/>
        </w:rPr>
        <w:t xml:space="preserve">ASU 2025-11 </w:t>
      </w:r>
      <w:r w:rsidRPr="00CF1B7C">
        <w:rPr>
          <w:rFonts w:cs="Arial"/>
          <w:sz w:val="28"/>
          <w:szCs w:val="28"/>
          <w:rtl/>
        </w:rPr>
        <w:t>لتحسينات التقارير المؤقتة، و</w:t>
      </w:r>
      <w:r w:rsidRPr="00CF1B7C">
        <w:rPr>
          <w:rFonts w:cs="Arial"/>
          <w:sz w:val="28"/>
          <w:szCs w:val="28"/>
        </w:rPr>
        <w:t xml:space="preserve">ASU 2025-09 </w:t>
      </w:r>
      <w:r w:rsidRPr="00CF1B7C">
        <w:rPr>
          <w:rFonts w:cs="Arial"/>
          <w:sz w:val="28"/>
          <w:szCs w:val="28"/>
          <w:rtl/>
        </w:rPr>
        <w:t>لتحسينات محاسبة التحوط، والتي تُفعل تدريجياً اعتباراً من ديسمبر 2026 لتعزيز الدقة والفعالية في التقارير المالية</w:t>
      </w:r>
      <w:r w:rsidRPr="00CF1B7C">
        <w:rPr>
          <w:rFonts w:cs="Arial"/>
          <w:sz w:val="28"/>
          <w:szCs w:val="28"/>
        </w:rPr>
        <w:t xml:space="preserve">. </w:t>
      </w:r>
      <w:r>
        <w:rPr>
          <w:rFonts w:cs="Arial" w:hint="cs"/>
          <w:sz w:val="28"/>
          <w:szCs w:val="28"/>
          <w:rtl/>
        </w:rPr>
        <w:t xml:space="preserve"> </w:t>
      </w:r>
    </w:p>
    <w:p w:rsidR="0006671E" w:rsidRPr="00CF1B7C" w:rsidRDefault="0006671E" w:rsidP="0006671E">
      <w:pPr>
        <w:bidi/>
        <w:spacing w:line="360" w:lineRule="auto"/>
        <w:jc w:val="lowKashida"/>
        <w:rPr>
          <w:rFonts w:cs="Arial"/>
          <w:sz w:val="28"/>
          <w:szCs w:val="28"/>
        </w:rPr>
      </w:pPr>
      <w:r w:rsidRPr="00CF1B7C">
        <w:rPr>
          <w:rFonts w:cs="Arial"/>
          <w:sz w:val="28"/>
          <w:szCs w:val="28"/>
        </w:rPr>
        <w:t xml:space="preserve"> </w:t>
      </w:r>
      <w:r w:rsidRPr="00CF1B7C">
        <w:rPr>
          <w:rFonts w:cs="Arial"/>
          <w:sz w:val="28"/>
          <w:szCs w:val="28"/>
          <w:rtl/>
        </w:rPr>
        <w:t>كما أكمل</w:t>
      </w:r>
      <w:r w:rsidRPr="00CF1B7C">
        <w:rPr>
          <w:rFonts w:cs="Arial"/>
          <w:sz w:val="28"/>
          <w:szCs w:val="28"/>
        </w:rPr>
        <w:t xml:space="preserve"> FASB </w:t>
      </w:r>
      <w:r w:rsidRPr="00CF1B7C">
        <w:rPr>
          <w:rFonts w:cs="Arial"/>
          <w:sz w:val="28"/>
          <w:szCs w:val="28"/>
          <w:rtl/>
        </w:rPr>
        <w:t>تحديثاً شاملاً لإطاره المفاهيمي في يوليو 2024، بما في ذلك الفصل 6 حول القياس، لتوجيه عملية وضع المعايير بطريقة أكثر تماسكاً وموضوعية</w:t>
      </w:r>
      <w:r w:rsidRPr="00CF1B7C">
        <w:rPr>
          <w:rFonts w:cs="Arial"/>
          <w:sz w:val="28"/>
          <w:szCs w:val="28"/>
        </w:rPr>
        <w:t xml:space="preserve">. </w:t>
      </w:r>
      <w:r>
        <w:rPr>
          <w:rFonts w:cs="Arial" w:hint="cs"/>
          <w:sz w:val="28"/>
          <w:szCs w:val="28"/>
          <w:rtl/>
        </w:rPr>
        <w:t xml:space="preserve">  </w:t>
      </w:r>
      <w:r w:rsidRPr="00CF1B7C">
        <w:rPr>
          <w:rFonts w:cs="Arial"/>
          <w:sz w:val="28"/>
          <w:szCs w:val="28"/>
          <w:rtl/>
        </w:rPr>
        <w:t>على المستوى الدولي، يعكس عمل</w:t>
      </w:r>
      <w:r w:rsidRPr="00CF1B7C">
        <w:rPr>
          <w:rFonts w:cs="Arial"/>
          <w:sz w:val="28"/>
          <w:szCs w:val="28"/>
        </w:rPr>
        <w:t xml:space="preserve"> IASB </w:t>
      </w:r>
      <w:r w:rsidRPr="00CF1B7C">
        <w:rPr>
          <w:rFonts w:cs="Arial"/>
          <w:sz w:val="28"/>
          <w:szCs w:val="28"/>
          <w:rtl/>
        </w:rPr>
        <w:t>التزاماً مستمراً بالمدخل السلطوي، حيث أصدر في أبريل 2024 معيار</w:t>
      </w:r>
      <w:r w:rsidRPr="00CF1B7C">
        <w:rPr>
          <w:rFonts w:cs="Arial"/>
          <w:sz w:val="28"/>
          <w:szCs w:val="28"/>
        </w:rPr>
        <w:t xml:space="preserve"> IFRS 18 </w:t>
      </w:r>
      <w:r w:rsidRPr="00CF1B7C">
        <w:rPr>
          <w:rFonts w:cs="Arial"/>
          <w:sz w:val="28"/>
          <w:szCs w:val="28"/>
          <w:rtl/>
        </w:rPr>
        <w:t xml:space="preserve">المتعلق بالعرض والإفصاح في </w:t>
      </w:r>
      <w:r>
        <w:rPr>
          <w:rFonts w:cs="Arial"/>
          <w:sz w:val="28"/>
          <w:szCs w:val="28"/>
          <w:rtl/>
        </w:rPr>
        <w:t>الكشوفات المالية</w:t>
      </w:r>
      <w:r w:rsidRPr="00CF1B7C">
        <w:rPr>
          <w:rFonts w:cs="Arial"/>
          <w:sz w:val="28"/>
          <w:szCs w:val="28"/>
          <w:rtl/>
        </w:rPr>
        <w:t>، الذي يحل محل</w:t>
      </w:r>
      <w:r w:rsidRPr="00CF1B7C">
        <w:rPr>
          <w:rFonts w:cs="Arial"/>
          <w:sz w:val="28"/>
          <w:szCs w:val="28"/>
        </w:rPr>
        <w:t xml:space="preserve"> IAS 1 </w:t>
      </w:r>
      <w:r w:rsidRPr="00CF1B7C">
        <w:rPr>
          <w:rFonts w:cs="Arial"/>
          <w:sz w:val="28"/>
          <w:szCs w:val="28"/>
          <w:rtl/>
        </w:rPr>
        <w:t>جزئياً ويُفعل من يناير 2027 لتحسين الشفافية في تصنيف النفقات والإيرادات</w:t>
      </w:r>
      <w:r w:rsidRPr="00CF1B7C">
        <w:rPr>
          <w:rFonts w:cs="Arial"/>
          <w:sz w:val="28"/>
          <w:szCs w:val="28"/>
        </w:rPr>
        <w:t xml:space="preserve">. </w:t>
      </w:r>
      <w:r>
        <w:rPr>
          <w:rFonts w:cs="Arial" w:hint="cs"/>
          <w:sz w:val="28"/>
          <w:szCs w:val="28"/>
          <w:rtl/>
        </w:rPr>
        <w:t xml:space="preserve"> </w:t>
      </w:r>
      <w:r w:rsidRPr="00CF1B7C">
        <w:rPr>
          <w:rFonts w:cs="Arial"/>
          <w:sz w:val="28"/>
          <w:szCs w:val="28"/>
        </w:rPr>
        <w:t xml:space="preserve"> </w:t>
      </w:r>
      <w:r w:rsidRPr="00CF1B7C">
        <w:rPr>
          <w:rFonts w:cs="Arial"/>
          <w:sz w:val="28"/>
          <w:szCs w:val="28"/>
          <w:rtl/>
        </w:rPr>
        <w:t>كما أصدر في مايو 2024</w:t>
      </w:r>
      <w:r w:rsidRPr="00CF1B7C">
        <w:rPr>
          <w:rFonts w:cs="Arial"/>
          <w:sz w:val="28"/>
          <w:szCs w:val="28"/>
        </w:rPr>
        <w:t xml:space="preserve"> IFRS 19 </w:t>
      </w:r>
      <w:r w:rsidRPr="00CF1B7C">
        <w:rPr>
          <w:rFonts w:cs="Arial"/>
          <w:sz w:val="28"/>
          <w:szCs w:val="28"/>
          <w:rtl/>
        </w:rPr>
        <w:t>للكشف عن الشركات التابعة غير الملزمة بالإفصاح العام، مع تعديلات على</w:t>
      </w:r>
      <w:r w:rsidRPr="00CF1B7C">
        <w:rPr>
          <w:rFonts w:cs="Arial"/>
          <w:sz w:val="28"/>
          <w:szCs w:val="28"/>
        </w:rPr>
        <w:t xml:space="preserve"> IFRS 9 </w:t>
      </w:r>
      <w:r w:rsidRPr="00CF1B7C">
        <w:rPr>
          <w:rFonts w:cs="Arial"/>
          <w:sz w:val="28"/>
          <w:szCs w:val="28"/>
          <w:rtl/>
        </w:rPr>
        <w:t>و</w:t>
      </w:r>
      <w:r w:rsidRPr="00CF1B7C">
        <w:rPr>
          <w:rFonts w:cs="Arial"/>
          <w:sz w:val="28"/>
          <w:szCs w:val="28"/>
        </w:rPr>
        <w:t xml:space="preserve">IFRS 7 </w:t>
      </w:r>
      <w:r w:rsidRPr="00CF1B7C">
        <w:rPr>
          <w:rFonts w:cs="Arial"/>
          <w:sz w:val="28"/>
          <w:szCs w:val="28"/>
          <w:rtl/>
        </w:rPr>
        <w:t>في 2024 لتصنيف وتقييم الأدوات المالية، فعالة من يناير 2026، لمواجهة التحديات الناشئة مثل الروابط البيئية والاجتماعية في العقود المالية</w:t>
      </w:r>
      <w:r w:rsidRPr="00CF1B7C">
        <w:rPr>
          <w:rFonts w:cs="Arial"/>
          <w:sz w:val="28"/>
          <w:szCs w:val="28"/>
        </w:rPr>
        <w:t xml:space="preserve">. </w:t>
      </w:r>
      <w:r>
        <w:rPr>
          <w:rFonts w:cs="Arial" w:hint="cs"/>
          <w:sz w:val="28"/>
          <w:szCs w:val="28"/>
          <w:rtl/>
        </w:rPr>
        <w:t xml:space="preserve">  </w:t>
      </w:r>
    </w:p>
    <w:p w:rsidR="0006671E" w:rsidRPr="00CF1B7C" w:rsidRDefault="0006671E" w:rsidP="0006671E">
      <w:pPr>
        <w:bidi/>
        <w:spacing w:line="360" w:lineRule="auto"/>
        <w:jc w:val="lowKashida"/>
        <w:rPr>
          <w:rFonts w:cs="Arial"/>
          <w:sz w:val="28"/>
          <w:szCs w:val="28"/>
          <w:rtl/>
        </w:rPr>
      </w:pPr>
    </w:p>
    <w:p w:rsidR="0006671E" w:rsidRDefault="0006671E" w:rsidP="0006671E">
      <w:pPr>
        <w:bidi/>
        <w:spacing w:line="360" w:lineRule="auto"/>
        <w:jc w:val="lowKashida"/>
        <w:rPr>
          <w:rFonts w:cs="Arial"/>
          <w:sz w:val="28"/>
          <w:szCs w:val="28"/>
          <w:rtl/>
        </w:rPr>
      </w:pPr>
      <w:r w:rsidRPr="00CF1B7C">
        <w:rPr>
          <w:rFonts w:cs="Arial"/>
          <w:sz w:val="28"/>
          <w:szCs w:val="28"/>
        </w:rPr>
        <w:t xml:space="preserve"> </w:t>
      </w:r>
      <w:r w:rsidRPr="00CF1B7C">
        <w:rPr>
          <w:rFonts w:cs="Arial"/>
          <w:sz w:val="28"/>
          <w:szCs w:val="28"/>
          <w:rtl/>
        </w:rPr>
        <w:t>هذه التطورات تحول النظرية المحاسبية من مفهوم أكاديمي إلى أداة عملية للحماية الاقتصادية والاجتماعية، خاصة في ظل التقارب المستمر بين</w:t>
      </w:r>
      <w:r w:rsidRPr="00CF1B7C">
        <w:rPr>
          <w:rFonts w:cs="Arial"/>
          <w:sz w:val="28"/>
          <w:szCs w:val="28"/>
        </w:rPr>
        <w:t xml:space="preserve"> GAAP </w:t>
      </w:r>
      <w:r w:rsidRPr="00CF1B7C">
        <w:rPr>
          <w:rFonts w:cs="Arial"/>
          <w:sz w:val="28"/>
          <w:szCs w:val="28"/>
          <w:rtl/>
        </w:rPr>
        <w:t>الأمريكي و</w:t>
      </w:r>
      <w:r w:rsidRPr="00CF1B7C">
        <w:rPr>
          <w:rFonts w:cs="Arial"/>
          <w:sz w:val="28"/>
          <w:szCs w:val="28"/>
        </w:rPr>
        <w:t xml:space="preserve">IFRS </w:t>
      </w:r>
      <w:r w:rsidRPr="00CF1B7C">
        <w:rPr>
          <w:rFonts w:cs="Arial"/>
          <w:sz w:val="28"/>
          <w:szCs w:val="28"/>
          <w:rtl/>
        </w:rPr>
        <w:t>الدولي، كما أكدته</w:t>
      </w:r>
      <w:r w:rsidRPr="00CF1B7C">
        <w:rPr>
          <w:rFonts w:cs="Arial"/>
          <w:sz w:val="28"/>
          <w:szCs w:val="28"/>
        </w:rPr>
        <w:t xml:space="preserve"> SEC </w:t>
      </w:r>
      <w:r w:rsidRPr="00CF1B7C">
        <w:rPr>
          <w:rFonts w:cs="Arial"/>
          <w:sz w:val="28"/>
          <w:szCs w:val="28"/>
          <w:rtl/>
        </w:rPr>
        <w:t>في بياناتها حول التقارب العالمي للمعايير المحاسبية</w:t>
      </w:r>
      <w:r w:rsidRPr="00CF1B7C">
        <w:rPr>
          <w:rFonts w:cs="Arial"/>
          <w:sz w:val="28"/>
          <w:szCs w:val="28"/>
        </w:rPr>
        <w:t xml:space="preserve">. </w:t>
      </w:r>
      <w:r>
        <w:rPr>
          <w:rFonts w:cs="Arial" w:hint="cs"/>
          <w:sz w:val="28"/>
          <w:szCs w:val="28"/>
          <w:rtl/>
        </w:rPr>
        <w:t xml:space="preserve"> </w:t>
      </w:r>
    </w:p>
    <w:p w:rsidR="0006671E" w:rsidRPr="008E34EE" w:rsidRDefault="0006671E" w:rsidP="0006671E">
      <w:pPr>
        <w:pStyle w:val="ListParagraph"/>
        <w:numPr>
          <w:ilvl w:val="0"/>
          <w:numId w:val="2"/>
        </w:numPr>
        <w:bidi/>
        <w:spacing w:line="360" w:lineRule="auto"/>
        <w:jc w:val="both"/>
        <w:rPr>
          <w:b/>
          <w:bCs/>
          <w:sz w:val="28"/>
          <w:szCs w:val="28"/>
          <w:rtl/>
        </w:rPr>
      </w:pPr>
      <w:r w:rsidRPr="008E34EE">
        <w:rPr>
          <w:b/>
          <w:bCs/>
          <w:sz w:val="28"/>
          <w:szCs w:val="28"/>
          <w:rtl/>
        </w:rPr>
        <w:t>طبيعة المعايير المحاسبية في المدخل السلطوي</w:t>
      </w:r>
    </w:p>
    <w:p w:rsidR="0006671E" w:rsidRPr="002271CC" w:rsidRDefault="0006671E" w:rsidP="0006671E">
      <w:pPr>
        <w:bidi/>
        <w:spacing w:line="360" w:lineRule="auto"/>
        <w:jc w:val="lowKashida"/>
        <w:rPr>
          <w:rFonts w:cs="Arial"/>
          <w:sz w:val="28"/>
          <w:szCs w:val="28"/>
        </w:rPr>
      </w:pPr>
      <w:r>
        <w:rPr>
          <w:rFonts w:cs="Arial" w:hint="cs"/>
          <w:sz w:val="28"/>
          <w:szCs w:val="28"/>
          <w:rtl/>
        </w:rPr>
        <w:lastRenderedPageBreak/>
        <w:t xml:space="preserve"> </w:t>
      </w:r>
      <w:r w:rsidRPr="002271CC">
        <w:rPr>
          <w:rFonts w:cs="Arial"/>
          <w:sz w:val="28"/>
          <w:szCs w:val="28"/>
          <w:rtl/>
        </w:rPr>
        <w:t>في إطار المدخل السلطوي، تُعرف المعايير المحاسبية كإعلانات رسمية صادرة عن هيئات تنظيمية متخصصة، تحدد الممارسات المقبولة في التقارير المالية وتفرضها كقواعد ملزمة. هذه المعايير تتجاوز كونها إرشادات اختيارية، إذ تعكس احتياجات المجتمع من خلال ضمان الشفافية والعدالة، والاقتصاد من خلال دعم الاستقرار المالي. على سبيل المثال، في معالجة قضايا الاعتراف بالإيرادات</w:t>
      </w:r>
      <w:r w:rsidRPr="002271CC">
        <w:rPr>
          <w:rFonts w:cs="Arial"/>
          <w:sz w:val="28"/>
          <w:szCs w:val="28"/>
        </w:rPr>
        <w:t xml:space="preserve"> (Revenue Recognition)</w:t>
      </w:r>
      <w:r w:rsidRPr="002271CC">
        <w:rPr>
          <w:rFonts w:cs="Arial"/>
          <w:sz w:val="28"/>
          <w:szCs w:val="28"/>
          <w:rtl/>
        </w:rPr>
        <w:t>، يفرض معيار</w:t>
      </w:r>
      <w:r w:rsidRPr="002271CC">
        <w:rPr>
          <w:rFonts w:cs="Arial"/>
          <w:sz w:val="28"/>
          <w:szCs w:val="28"/>
        </w:rPr>
        <w:t xml:space="preserve"> ASC 606 </w:t>
      </w:r>
      <w:r w:rsidRPr="002271CC">
        <w:rPr>
          <w:rFonts w:cs="Arial"/>
          <w:sz w:val="28"/>
          <w:szCs w:val="28"/>
          <w:rtl/>
        </w:rPr>
        <w:t>من</w:t>
      </w:r>
      <w:r w:rsidRPr="002271CC">
        <w:rPr>
          <w:rFonts w:cs="Arial"/>
          <w:sz w:val="28"/>
          <w:szCs w:val="28"/>
        </w:rPr>
        <w:t xml:space="preserve"> FASB </w:t>
      </w:r>
      <w:r w:rsidRPr="002271CC">
        <w:rPr>
          <w:rFonts w:cs="Arial"/>
          <w:sz w:val="28"/>
          <w:szCs w:val="28"/>
          <w:rtl/>
        </w:rPr>
        <w:t>توحيداً في الاعتراف بالإيرادات من العقود مع العملاء، حيث يتطلب تحديد الالتزامات الأدائية وتخصيص الأسعار المعاملية، مما يضمن الثبات</w:t>
      </w:r>
      <w:r w:rsidRPr="002271CC">
        <w:rPr>
          <w:rFonts w:cs="Arial"/>
          <w:sz w:val="28"/>
          <w:szCs w:val="28"/>
        </w:rPr>
        <w:t xml:space="preserve"> (Consistency) </w:t>
      </w:r>
      <w:r w:rsidRPr="002271CC">
        <w:rPr>
          <w:rFonts w:cs="Arial"/>
          <w:sz w:val="28"/>
          <w:szCs w:val="28"/>
          <w:rtl/>
        </w:rPr>
        <w:t>والموثوقية</w:t>
      </w:r>
      <w:r w:rsidRPr="002271CC">
        <w:rPr>
          <w:rFonts w:cs="Arial"/>
          <w:sz w:val="28"/>
          <w:szCs w:val="28"/>
        </w:rPr>
        <w:t xml:space="preserve"> (Reliability) </w:t>
      </w:r>
      <w:r w:rsidRPr="002271CC">
        <w:rPr>
          <w:rFonts w:cs="Arial"/>
          <w:sz w:val="28"/>
          <w:szCs w:val="28"/>
          <w:rtl/>
        </w:rPr>
        <w:t>في التقارير</w:t>
      </w:r>
      <w:r w:rsidRPr="002271CC">
        <w:rPr>
          <w:rFonts w:cs="Arial"/>
          <w:sz w:val="28"/>
          <w:szCs w:val="28"/>
        </w:rPr>
        <w:t xml:space="preserve">. </w:t>
      </w:r>
      <w:r>
        <w:rPr>
          <w:rFonts w:cs="Arial" w:hint="cs"/>
          <w:sz w:val="28"/>
          <w:szCs w:val="28"/>
          <w:rtl/>
        </w:rPr>
        <w:t xml:space="preserve"> </w:t>
      </w:r>
    </w:p>
    <w:p w:rsidR="0006671E" w:rsidRPr="002271CC" w:rsidRDefault="0006671E" w:rsidP="0006671E">
      <w:pPr>
        <w:bidi/>
        <w:spacing w:line="360" w:lineRule="auto"/>
        <w:jc w:val="lowKashida"/>
        <w:rPr>
          <w:rFonts w:cs="Arial"/>
          <w:sz w:val="28"/>
          <w:szCs w:val="28"/>
        </w:rPr>
      </w:pPr>
      <w:r w:rsidRPr="002271CC">
        <w:rPr>
          <w:rFonts w:cs="Arial"/>
          <w:sz w:val="28"/>
          <w:szCs w:val="28"/>
        </w:rPr>
        <w:t xml:space="preserve"> </w:t>
      </w:r>
      <w:r w:rsidRPr="002271CC">
        <w:rPr>
          <w:rFonts w:cs="Arial"/>
          <w:sz w:val="28"/>
          <w:szCs w:val="28"/>
          <w:rtl/>
        </w:rPr>
        <w:t>وفي عام 2025، أصدرت</w:t>
      </w:r>
      <w:r w:rsidRPr="002271CC">
        <w:rPr>
          <w:rFonts w:cs="Arial"/>
          <w:sz w:val="28"/>
          <w:szCs w:val="28"/>
        </w:rPr>
        <w:t xml:space="preserve"> FASB </w:t>
      </w:r>
      <w:r w:rsidRPr="002271CC">
        <w:rPr>
          <w:rFonts w:cs="Arial"/>
          <w:sz w:val="28"/>
          <w:szCs w:val="28"/>
          <w:rtl/>
        </w:rPr>
        <w:t>تحديث</w:t>
      </w:r>
      <w:r w:rsidRPr="002271CC">
        <w:rPr>
          <w:rFonts w:cs="Arial"/>
          <w:sz w:val="28"/>
          <w:szCs w:val="28"/>
        </w:rPr>
        <w:t xml:space="preserve"> ASU 2025-04 </w:t>
      </w:r>
      <w:r w:rsidRPr="002271CC">
        <w:rPr>
          <w:rFonts w:cs="Arial"/>
          <w:sz w:val="28"/>
          <w:szCs w:val="28"/>
          <w:rtl/>
        </w:rPr>
        <w:t>الذي يوضح التعامل مع التعويضات المبنية على الأسهم المقدمة للعملاء، مما يعزز من دقة الاعتراف بالإيرادات في سياقات معقدة مثل الاقتصاد الرقمي</w:t>
      </w:r>
      <w:r w:rsidRPr="002271CC">
        <w:rPr>
          <w:rFonts w:cs="Arial"/>
          <w:sz w:val="28"/>
          <w:szCs w:val="28"/>
        </w:rPr>
        <w:t xml:space="preserve">. </w:t>
      </w:r>
      <w:r>
        <w:rPr>
          <w:rFonts w:cs="Arial" w:hint="cs"/>
          <w:sz w:val="28"/>
          <w:szCs w:val="28"/>
          <w:rtl/>
        </w:rPr>
        <w:t xml:space="preserve">  </w:t>
      </w:r>
      <w:r w:rsidRPr="002271CC">
        <w:rPr>
          <w:rFonts w:cs="Arial"/>
          <w:sz w:val="28"/>
          <w:szCs w:val="28"/>
          <w:rtl/>
        </w:rPr>
        <w:t>أما بالنسبة لقياس الأصول</w:t>
      </w:r>
      <w:r w:rsidRPr="002271CC">
        <w:rPr>
          <w:rFonts w:cs="Arial"/>
          <w:sz w:val="28"/>
          <w:szCs w:val="28"/>
        </w:rPr>
        <w:t xml:space="preserve"> (Asset Measurement)</w:t>
      </w:r>
      <w:r w:rsidRPr="002271CC">
        <w:rPr>
          <w:rFonts w:cs="Arial"/>
          <w:sz w:val="28"/>
          <w:szCs w:val="28"/>
          <w:rtl/>
        </w:rPr>
        <w:t>، فإن المعايير السلطوية تفرض إطاراً موحداً لقياس القيمة العادلة</w:t>
      </w:r>
      <w:r w:rsidRPr="002271CC">
        <w:rPr>
          <w:rFonts w:cs="Arial"/>
          <w:sz w:val="28"/>
          <w:szCs w:val="28"/>
        </w:rPr>
        <w:t xml:space="preserve"> (Fair Value)</w:t>
      </w:r>
      <w:r w:rsidRPr="002271CC">
        <w:rPr>
          <w:rFonts w:cs="Arial"/>
          <w:sz w:val="28"/>
          <w:szCs w:val="28"/>
          <w:rtl/>
        </w:rPr>
        <w:t>، كما في معيار</w:t>
      </w:r>
      <w:r w:rsidRPr="002271CC">
        <w:rPr>
          <w:rFonts w:cs="Arial"/>
          <w:sz w:val="28"/>
          <w:szCs w:val="28"/>
        </w:rPr>
        <w:t xml:space="preserve"> IFRS 13 </w:t>
      </w:r>
      <w:r w:rsidRPr="002271CC">
        <w:rPr>
          <w:rFonts w:cs="Arial"/>
          <w:sz w:val="28"/>
          <w:szCs w:val="28"/>
          <w:rtl/>
        </w:rPr>
        <w:t>من</w:t>
      </w:r>
      <w:r w:rsidRPr="002271CC">
        <w:rPr>
          <w:rFonts w:cs="Arial"/>
          <w:sz w:val="28"/>
          <w:szCs w:val="28"/>
        </w:rPr>
        <w:t xml:space="preserve"> IASB</w:t>
      </w:r>
      <w:r w:rsidRPr="002271CC">
        <w:rPr>
          <w:rFonts w:cs="Arial"/>
          <w:sz w:val="28"/>
          <w:szCs w:val="28"/>
          <w:rtl/>
        </w:rPr>
        <w:t>، الذي يحدد منهجيات قياس الأصول بناءً على بيانات السوق المتاحة. في الفترة 2023-2025، أجرت</w:t>
      </w:r>
      <w:r w:rsidRPr="002271CC">
        <w:rPr>
          <w:rFonts w:cs="Arial"/>
          <w:sz w:val="28"/>
          <w:szCs w:val="28"/>
        </w:rPr>
        <w:t xml:space="preserve"> IASB </w:t>
      </w:r>
      <w:r w:rsidRPr="002271CC">
        <w:rPr>
          <w:rFonts w:cs="Arial"/>
          <w:sz w:val="28"/>
          <w:szCs w:val="28"/>
          <w:rtl/>
        </w:rPr>
        <w:t>تعديلات على</w:t>
      </w:r>
      <w:r w:rsidRPr="002271CC">
        <w:rPr>
          <w:rFonts w:cs="Arial"/>
          <w:sz w:val="28"/>
          <w:szCs w:val="28"/>
        </w:rPr>
        <w:t xml:space="preserve"> IFRS 9 </w:t>
      </w:r>
      <w:r w:rsidRPr="002271CC">
        <w:rPr>
          <w:rFonts w:cs="Arial"/>
          <w:sz w:val="28"/>
          <w:szCs w:val="28"/>
          <w:rtl/>
        </w:rPr>
        <w:t>لتحسين قياس الأصول المالية ذات الميزات الطارئة</w:t>
      </w:r>
      <w:r w:rsidRPr="002271CC">
        <w:rPr>
          <w:rFonts w:cs="Arial"/>
          <w:sz w:val="28"/>
          <w:szCs w:val="28"/>
        </w:rPr>
        <w:t xml:space="preserve"> (Contingent Features)</w:t>
      </w:r>
      <w:r w:rsidRPr="002271CC">
        <w:rPr>
          <w:rFonts w:cs="Arial"/>
          <w:sz w:val="28"/>
          <w:szCs w:val="28"/>
          <w:rtl/>
        </w:rPr>
        <w:t>، مما يقلل من التنوع في التطبيق ويعزز الثبات</w:t>
      </w:r>
      <w:r w:rsidRPr="002271CC">
        <w:rPr>
          <w:rFonts w:cs="Arial"/>
          <w:sz w:val="28"/>
          <w:szCs w:val="28"/>
        </w:rPr>
        <w:t xml:space="preserve">. </w:t>
      </w:r>
      <w:r>
        <w:rPr>
          <w:rFonts w:cs="Arial" w:hint="cs"/>
          <w:sz w:val="28"/>
          <w:szCs w:val="28"/>
          <w:rtl/>
        </w:rPr>
        <w:t xml:space="preserve"> </w:t>
      </w:r>
      <w:r w:rsidRPr="002271CC">
        <w:rPr>
          <w:rFonts w:cs="Arial"/>
          <w:sz w:val="28"/>
          <w:szCs w:val="28"/>
        </w:rPr>
        <w:t xml:space="preserve"> </w:t>
      </w:r>
      <w:r w:rsidRPr="002271CC">
        <w:rPr>
          <w:rFonts w:cs="Arial"/>
          <w:sz w:val="28"/>
          <w:szCs w:val="28"/>
          <w:rtl/>
        </w:rPr>
        <w:t>هذه المعايير تساهم في تقليل عدم التماثل في المعلومات</w:t>
      </w:r>
      <w:r w:rsidRPr="002271CC">
        <w:rPr>
          <w:rFonts w:cs="Arial"/>
          <w:sz w:val="28"/>
          <w:szCs w:val="28"/>
        </w:rPr>
        <w:t xml:space="preserve"> (Asymmetric Information) </w:t>
      </w:r>
      <w:r w:rsidRPr="002271CC">
        <w:rPr>
          <w:rFonts w:cs="Arial"/>
          <w:sz w:val="28"/>
          <w:szCs w:val="28"/>
          <w:rtl/>
        </w:rPr>
        <w:t xml:space="preserve">بين الإدارة والمستثمرين، حيث تفرض إفصاحات مفصلة تمنع التلاعب بالبيانات. </w:t>
      </w:r>
      <w:r>
        <w:rPr>
          <w:rFonts w:cs="Arial"/>
          <w:sz w:val="28"/>
          <w:szCs w:val="28"/>
        </w:rPr>
        <w:t xml:space="preserve"> </w:t>
      </w:r>
    </w:p>
    <w:p w:rsidR="0006671E" w:rsidRPr="009A0DD4" w:rsidRDefault="0006671E" w:rsidP="0006671E">
      <w:pPr>
        <w:bidi/>
        <w:spacing w:line="360" w:lineRule="auto"/>
        <w:jc w:val="lowKashida"/>
        <w:rPr>
          <w:rFonts w:cs="Arial"/>
          <w:sz w:val="28"/>
          <w:szCs w:val="28"/>
          <w:rtl/>
        </w:rPr>
      </w:pPr>
      <w:r w:rsidRPr="009A0DD4">
        <w:rPr>
          <w:rFonts w:cs="Arial"/>
          <w:sz w:val="28"/>
          <w:szCs w:val="28"/>
          <w:rtl/>
        </w:rPr>
        <w:t>يمنع المدخل السلطوي السلوكيات الانتهازية مثل إدارة الأرباح، حيث تعتمد على تدخل خارجي لتصحيح فشل السوق، خاصة عدم التماثل في المعلومات. في السياق الحديث، أصدرت</w:t>
      </w:r>
      <w:r w:rsidRPr="009A0DD4">
        <w:rPr>
          <w:rFonts w:cs="Arial"/>
          <w:sz w:val="28"/>
          <w:szCs w:val="28"/>
        </w:rPr>
        <w:t xml:space="preserve"> FASB </w:t>
      </w:r>
      <w:r w:rsidRPr="009A0DD4">
        <w:rPr>
          <w:rFonts w:cs="Arial"/>
          <w:sz w:val="28"/>
          <w:szCs w:val="28"/>
          <w:rtl/>
        </w:rPr>
        <w:t>في عام 2025</w:t>
      </w:r>
      <w:r w:rsidRPr="009A0DD4">
        <w:rPr>
          <w:rFonts w:cs="Arial"/>
          <w:sz w:val="28"/>
          <w:szCs w:val="28"/>
        </w:rPr>
        <w:t xml:space="preserve"> ASU 2025-07 </w:t>
      </w:r>
      <w:r w:rsidRPr="009A0DD4">
        <w:rPr>
          <w:rFonts w:cs="Arial"/>
          <w:sz w:val="28"/>
          <w:szCs w:val="28"/>
          <w:rtl/>
        </w:rPr>
        <w:t>لتحسين نطاق المشتقات، مما يقلل من فرص إدارة الأرباح في العقود المالية</w:t>
      </w:r>
      <w:r>
        <w:rPr>
          <w:rFonts w:cs="Arial" w:hint="cs"/>
          <w:sz w:val="28"/>
          <w:szCs w:val="28"/>
          <w:rtl/>
        </w:rPr>
        <w:t>.</w:t>
      </w:r>
      <w:r w:rsidRPr="009A0DD4">
        <w:rPr>
          <w:rFonts w:cs="Arial"/>
          <w:sz w:val="28"/>
          <w:szCs w:val="28"/>
        </w:rPr>
        <w:t xml:space="preserve"> </w:t>
      </w:r>
      <w:r>
        <w:rPr>
          <w:rFonts w:cs="Arial"/>
          <w:sz w:val="28"/>
          <w:szCs w:val="28"/>
        </w:rPr>
        <w:t xml:space="preserve">  </w:t>
      </w:r>
      <w:r w:rsidRPr="009A0DD4">
        <w:rPr>
          <w:rFonts w:cs="Arial"/>
          <w:sz w:val="28"/>
          <w:szCs w:val="28"/>
          <w:rtl/>
        </w:rPr>
        <w:t>هذا يجعل النظرية أكثر عملية، حيث يعتمد على تدخل خارجي لضمان العدالة</w:t>
      </w:r>
      <w:r w:rsidRPr="009A0DD4">
        <w:rPr>
          <w:rFonts w:cs="Arial"/>
          <w:sz w:val="28"/>
          <w:szCs w:val="28"/>
        </w:rPr>
        <w:t>.</w:t>
      </w:r>
    </w:p>
    <w:p w:rsidR="0006671E" w:rsidRPr="008E34EE" w:rsidRDefault="0006671E" w:rsidP="0006671E">
      <w:pPr>
        <w:pStyle w:val="ListParagraph"/>
        <w:numPr>
          <w:ilvl w:val="0"/>
          <w:numId w:val="2"/>
        </w:numPr>
        <w:bidi/>
        <w:spacing w:line="360" w:lineRule="auto"/>
        <w:jc w:val="both"/>
        <w:rPr>
          <w:b/>
          <w:bCs/>
          <w:sz w:val="28"/>
          <w:szCs w:val="28"/>
          <w:rtl/>
        </w:rPr>
      </w:pPr>
      <w:r w:rsidRPr="008E34EE">
        <w:rPr>
          <w:rFonts w:cs="Arial"/>
          <w:b/>
          <w:bCs/>
          <w:sz w:val="28"/>
          <w:szCs w:val="28"/>
          <w:rtl/>
        </w:rPr>
        <w:t>أهداف عملية وضع المعايير في المدخل السلطوي</w:t>
      </w:r>
    </w:p>
    <w:p w:rsidR="0006671E" w:rsidRDefault="0006671E" w:rsidP="0006671E">
      <w:pPr>
        <w:bidi/>
        <w:spacing w:line="360" w:lineRule="auto"/>
        <w:jc w:val="lowKashida"/>
        <w:rPr>
          <w:rFonts w:cs="Arial"/>
          <w:sz w:val="28"/>
          <w:szCs w:val="28"/>
          <w:rtl/>
        </w:rPr>
      </w:pPr>
      <w:r w:rsidRPr="00340EC5">
        <w:rPr>
          <w:rFonts w:cs="Arial"/>
          <w:sz w:val="28"/>
          <w:szCs w:val="28"/>
          <w:rtl/>
        </w:rPr>
        <w:t>أهداف عملية وضع المعايير في المدخل السلطوي تمثل جوهر النهج التنظيمي في بناء النظرية المحاسبية، حيث يركز هذا المدخل على استخدام السلطة الرسمية لفرض مبادئ محاسبية موحدة تضمن التوافق والشرعية في التقارير المالية. يعتمد المدخل السلطوي، خلافاً للمناهج الاستنتاجية أو الاستقرائية، على هيئات تنظيمية مثل مجلس المعايير المحاسبية المالية</w:t>
      </w:r>
      <w:r w:rsidRPr="00340EC5">
        <w:rPr>
          <w:rFonts w:cs="Arial"/>
          <w:sz w:val="28"/>
          <w:szCs w:val="28"/>
        </w:rPr>
        <w:t xml:space="preserve"> (FASB) </w:t>
      </w:r>
      <w:r w:rsidRPr="00340EC5">
        <w:rPr>
          <w:rFonts w:cs="Arial"/>
          <w:sz w:val="28"/>
          <w:szCs w:val="28"/>
          <w:rtl/>
        </w:rPr>
        <w:lastRenderedPageBreak/>
        <w:t>في الولايات المتحدة أو مجلس المعايير المحاسبية الدولية</w:t>
      </w:r>
      <w:r w:rsidRPr="00340EC5">
        <w:rPr>
          <w:rFonts w:cs="Arial"/>
          <w:sz w:val="28"/>
          <w:szCs w:val="28"/>
        </w:rPr>
        <w:t xml:space="preserve"> (IASB)</w:t>
      </w:r>
      <w:r w:rsidRPr="00340EC5">
        <w:rPr>
          <w:rFonts w:cs="Arial"/>
          <w:sz w:val="28"/>
          <w:szCs w:val="28"/>
          <w:rtl/>
        </w:rPr>
        <w:t>، لتحديد الأهداف التي تعزز المساءلة</w:t>
      </w:r>
      <w:r w:rsidRPr="00340EC5">
        <w:rPr>
          <w:rFonts w:cs="Arial"/>
          <w:sz w:val="28"/>
          <w:szCs w:val="28"/>
        </w:rPr>
        <w:t xml:space="preserve"> (Accountability)</w:t>
      </w:r>
      <w:r w:rsidRPr="00340EC5">
        <w:rPr>
          <w:rFonts w:cs="Arial"/>
          <w:sz w:val="28"/>
          <w:szCs w:val="28"/>
          <w:rtl/>
        </w:rPr>
        <w:t>، الحيادية</w:t>
      </w:r>
      <w:r w:rsidRPr="00340EC5">
        <w:rPr>
          <w:rFonts w:cs="Arial"/>
          <w:sz w:val="28"/>
          <w:szCs w:val="28"/>
        </w:rPr>
        <w:t xml:space="preserve"> (Neutrality)</w:t>
      </w:r>
      <w:r w:rsidRPr="00340EC5">
        <w:rPr>
          <w:rFonts w:cs="Arial"/>
          <w:sz w:val="28"/>
          <w:szCs w:val="28"/>
          <w:rtl/>
        </w:rPr>
        <w:t>، والفائدة</w:t>
      </w:r>
      <w:r w:rsidRPr="00340EC5">
        <w:rPr>
          <w:rFonts w:cs="Arial"/>
          <w:sz w:val="28"/>
          <w:szCs w:val="28"/>
        </w:rPr>
        <w:t xml:space="preserve"> (Usefulness) </w:t>
      </w:r>
      <w:r w:rsidRPr="00340EC5">
        <w:rPr>
          <w:rFonts w:cs="Arial"/>
          <w:sz w:val="28"/>
          <w:szCs w:val="28"/>
          <w:rtl/>
        </w:rPr>
        <w:t>لمستخدمي التقارير المالية. هذه الأهداف ليست مجرد مبادئ نظرية، بل أدوات عملية تهدف إلى تلبية احتياجات المستثمرين والدائنين من خلال توفير معلومات ذات صلة</w:t>
      </w:r>
      <w:r w:rsidRPr="00340EC5">
        <w:rPr>
          <w:rFonts w:cs="Arial"/>
          <w:sz w:val="28"/>
          <w:szCs w:val="28"/>
        </w:rPr>
        <w:t xml:space="preserve"> (Relevant)</w:t>
      </w:r>
      <w:r w:rsidRPr="00340EC5">
        <w:rPr>
          <w:rFonts w:cs="Arial"/>
          <w:sz w:val="28"/>
          <w:szCs w:val="28"/>
          <w:rtl/>
        </w:rPr>
        <w:t>، موثوقة</w:t>
      </w:r>
      <w:r w:rsidRPr="00340EC5">
        <w:rPr>
          <w:rFonts w:cs="Arial"/>
          <w:sz w:val="28"/>
          <w:szCs w:val="28"/>
        </w:rPr>
        <w:t xml:space="preserve"> (Reliable)</w:t>
      </w:r>
      <w:r w:rsidRPr="00340EC5">
        <w:rPr>
          <w:rFonts w:cs="Arial"/>
          <w:sz w:val="28"/>
          <w:szCs w:val="28"/>
          <w:rtl/>
        </w:rPr>
        <w:t>، قابلة للمقارنة</w:t>
      </w:r>
      <w:r w:rsidRPr="00340EC5">
        <w:rPr>
          <w:rFonts w:cs="Arial"/>
          <w:sz w:val="28"/>
          <w:szCs w:val="28"/>
        </w:rPr>
        <w:t xml:space="preserve"> (Comparable)</w:t>
      </w:r>
      <w:r w:rsidRPr="00340EC5">
        <w:rPr>
          <w:rFonts w:cs="Arial"/>
          <w:sz w:val="28"/>
          <w:szCs w:val="28"/>
          <w:rtl/>
        </w:rPr>
        <w:t>، وفي الوقت المناسب</w:t>
      </w:r>
      <w:r w:rsidRPr="00340EC5">
        <w:rPr>
          <w:rFonts w:cs="Arial"/>
          <w:sz w:val="28"/>
          <w:szCs w:val="28"/>
        </w:rPr>
        <w:t xml:space="preserve"> (Timely). </w:t>
      </w:r>
      <w:r w:rsidRPr="00340EC5">
        <w:rPr>
          <w:rFonts w:cs="Arial"/>
          <w:sz w:val="28"/>
          <w:szCs w:val="28"/>
          <w:rtl/>
        </w:rPr>
        <w:t>في سياق الإطار المفاهيمي</w:t>
      </w:r>
      <w:r w:rsidRPr="00340EC5">
        <w:rPr>
          <w:rFonts w:cs="Arial"/>
          <w:sz w:val="28"/>
          <w:szCs w:val="28"/>
        </w:rPr>
        <w:t xml:space="preserve"> (Conceptual Framework)</w:t>
      </w:r>
      <w:r w:rsidRPr="00340EC5">
        <w:rPr>
          <w:rFonts w:cs="Arial"/>
          <w:sz w:val="28"/>
          <w:szCs w:val="28"/>
          <w:rtl/>
        </w:rPr>
        <w:t>، الذي يُعتبر الأساس النظري للمدخل السلطوي، ترتبط هذه الأهداف مباشرة بتطوير المعايير التي تضمن قياس الأداء الاقتصادي الحقيقي، مما يحد من التشوهات الناتجة عن عوامل مثل التضخم أو التغيرات السعرية.</w:t>
      </w:r>
    </w:p>
    <w:p w:rsidR="0006671E" w:rsidRPr="00340EC5" w:rsidRDefault="0006671E" w:rsidP="0006671E">
      <w:pPr>
        <w:bidi/>
        <w:spacing w:line="360" w:lineRule="auto"/>
        <w:jc w:val="lowKashida"/>
        <w:rPr>
          <w:rFonts w:cs="Arial"/>
          <w:sz w:val="28"/>
          <w:szCs w:val="28"/>
          <w:rtl/>
        </w:rPr>
      </w:pPr>
      <w:r w:rsidRPr="00340EC5">
        <w:rPr>
          <w:rFonts w:cs="Arial"/>
          <w:sz w:val="28"/>
          <w:szCs w:val="28"/>
          <w:rtl/>
        </w:rPr>
        <w:t>لتوضيح ذلك، يمكن النظر إلى الإطار المفاهيمي كأداة تربط بين الأهداف العامة للتقارير المالية والممارسات اليومية. وفقاً للإطار المفاهيمي لـ</w:t>
      </w:r>
      <w:r w:rsidRPr="00340EC5">
        <w:rPr>
          <w:rFonts w:cs="Arial"/>
          <w:sz w:val="28"/>
          <w:szCs w:val="28"/>
        </w:rPr>
        <w:t xml:space="preserve"> FASB</w:t>
      </w:r>
      <w:r w:rsidRPr="00340EC5">
        <w:rPr>
          <w:rFonts w:cs="Arial"/>
          <w:sz w:val="28"/>
          <w:szCs w:val="28"/>
          <w:rtl/>
        </w:rPr>
        <w:t>، الذي تم تحديثه مؤخراً في يوليو 2024 بإضافة الفصل السادس المتعلق بالقياس</w:t>
      </w:r>
      <w:r w:rsidRPr="00340EC5">
        <w:rPr>
          <w:rFonts w:cs="Arial"/>
          <w:sz w:val="28"/>
          <w:szCs w:val="28"/>
        </w:rPr>
        <w:t xml:space="preserve"> (Measurement)</w:t>
      </w:r>
      <w:r w:rsidRPr="00340EC5">
        <w:rPr>
          <w:rFonts w:cs="Arial"/>
          <w:sz w:val="28"/>
          <w:szCs w:val="28"/>
          <w:rtl/>
        </w:rPr>
        <w:t>، يحدد الهدف الرئيسي للتقارير المالية العامة تقديم معلومات مالية مفيدة للمستخدمين الرئيسيين مثل المستثمرين والدائنين، لمساعدتهم في تقييم تدفقات النقد المستقبلية وإدارة الموارد الاقتصادية</w:t>
      </w:r>
      <w:r w:rsidRPr="00340EC5">
        <w:rPr>
          <w:rFonts w:cs="Arial"/>
          <w:sz w:val="28"/>
          <w:szCs w:val="28"/>
        </w:rPr>
        <w:t xml:space="preserve">. </w:t>
      </w:r>
      <w:r>
        <w:rPr>
          <w:rFonts w:cs="Arial" w:hint="cs"/>
          <w:sz w:val="28"/>
          <w:szCs w:val="28"/>
          <w:rtl/>
        </w:rPr>
        <w:t xml:space="preserve">  </w:t>
      </w:r>
      <w:r w:rsidRPr="00340EC5">
        <w:rPr>
          <w:rFonts w:cs="Arial"/>
          <w:sz w:val="28"/>
          <w:szCs w:val="28"/>
        </w:rPr>
        <w:t xml:space="preserve"> </w:t>
      </w:r>
      <w:r w:rsidRPr="00340EC5">
        <w:rPr>
          <w:rFonts w:cs="Arial"/>
          <w:sz w:val="28"/>
          <w:szCs w:val="28"/>
          <w:rtl/>
        </w:rPr>
        <w:t>هذا التحديث يعكس التزام</w:t>
      </w:r>
      <w:r w:rsidRPr="00340EC5">
        <w:rPr>
          <w:rFonts w:cs="Arial"/>
          <w:sz w:val="28"/>
          <w:szCs w:val="28"/>
        </w:rPr>
        <w:t xml:space="preserve"> FASB </w:t>
      </w:r>
      <w:r w:rsidRPr="00340EC5">
        <w:rPr>
          <w:rFonts w:cs="Arial"/>
          <w:sz w:val="28"/>
          <w:szCs w:val="28"/>
          <w:rtl/>
        </w:rPr>
        <w:t xml:space="preserve">بتعزيز الخصائص النوعية للمعلومات المالية، مثل </w:t>
      </w:r>
      <w:r>
        <w:rPr>
          <w:rFonts w:cs="Arial" w:hint="cs"/>
          <w:sz w:val="28"/>
          <w:szCs w:val="28"/>
          <w:rtl/>
        </w:rPr>
        <w:t>الملائمة</w:t>
      </w:r>
      <w:r w:rsidRPr="00340EC5">
        <w:rPr>
          <w:rFonts w:cs="Arial"/>
          <w:sz w:val="28"/>
          <w:szCs w:val="28"/>
          <w:rtl/>
        </w:rPr>
        <w:t xml:space="preserve"> والتمثيل </w:t>
      </w:r>
      <w:r>
        <w:rPr>
          <w:rFonts w:cs="Arial" w:hint="cs"/>
          <w:sz w:val="28"/>
          <w:szCs w:val="28"/>
          <w:rtl/>
        </w:rPr>
        <w:t>الصادق</w:t>
      </w:r>
      <w:r w:rsidRPr="00340EC5">
        <w:rPr>
          <w:rFonts w:cs="Arial"/>
          <w:sz w:val="28"/>
          <w:szCs w:val="28"/>
        </w:rPr>
        <w:t xml:space="preserve"> (Faithful Representation)</w:t>
      </w:r>
      <w:r w:rsidRPr="00340EC5">
        <w:rPr>
          <w:rFonts w:cs="Arial"/>
          <w:sz w:val="28"/>
          <w:szCs w:val="28"/>
          <w:rtl/>
        </w:rPr>
        <w:t>، مع التركيز على خصائص تعزيزية مثل القابلية للمقارنة والقابلية للتحقق</w:t>
      </w:r>
      <w:r w:rsidRPr="00340EC5">
        <w:rPr>
          <w:rFonts w:cs="Arial"/>
          <w:sz w:val="28"/>
          <w:szCs w:val="28"/>
        </w:rPr>
        <w:t xml:space="preserve"> (Verifiability). </w:t>
      </w:r>
      <w:r w:rsidRPr="00340EC5">
        <w:rPr>
          <w:rFonts w:cs="Arial"/>
          <w:sz w:val="28"/>
          <w:szCs w:val="28"/>
          <w:rtl/>
        </w:rPr>
        <w:t>في السياق نفسه، يؤكد الإطار المفاهيمي لـ</w:t>
      </w:r>
      <w:r w:rsidRPr="00340EC5">
        <w:rPr>
          <w:rFonts w:cs="Arial"/>
          <w:sz w:val="28"/>
          <w:szCs w:val="28"/>
        </w:rPr>
        <w:t xml:space="preserve"> IASB</w:t>
      </w:r>
      <w:r w:rsidRPr="00340EC5">
        <w:rPr>
          <w:rFonts w:cs="Arial"/>
          <w:sz w:val="28"/>
          <w:szCs w:val="28"/>
          <w:rtl/>
        </w:rPr>
        <w:t>، الذي تم تعديله آخر مرة في مارس 2018، على أن الهدف من التقارير المالية هو تقديم معلومات تساعد في اتخاذ قرارات تتعلق بتخصيص الموارد، مع التركيز على تقييم إدارة الموارد الاقتصادية</w:t>
      </w:r>
      <w:r w:rsidRPr="00340EC5">
        <w:rPr>
          <w:rFonts w:cs="Arial"/>
          <w:sz w:val="28"/>
          <w:szCs w:val="28"/>
        </w:rPr>
        <w:t xml:space="preserve"> (Stewardship). </w:t>
      </w:r>
      <w:r>
        <w:rPr>
          <w:rFonts w:cs="Arial" w:hint="cs"/>
          <w:sz w:val="28"/>
          <w:szCs w:val="28"/>
          <w:rtl/>
        </w:rPr>
        <w:t xml:space="preserve"> </w:t>
      </w:r>
    </w:p>
    <w:p w:rsidR="0006671E" w:rsidRPr="00340EC5" w:rsidRDefault="0006671E" w:rsidP="0006671E">
      <w:pPr>
        <w:bidi/>
        <w:spacing w:line="360" w:lineRule="auto"/>
        <w:jc w:val="lowKashida"/>
        <w:rPr>
          <w:rFonts w:cs="Arial"/>
          <w:sz w:val="28"/>
          <w:szCs w:val="28"/>
        </w:rPr>
      </w:pPr>
      <w:r w:rsidRPr="00340EC5">
        <w:rPr>
          <w:rFonts w:cs="Arial"/>
          <w:sz w:val="28"/>
          <w:szCs w:val="28"/>
        </w:rPr>
        <w:t xml:space="preserve"> </w:t>
      </w:r>
      <w:r w:rsidRPr="00340EC5">
        <w:rPr>
          <w:rFonts w:cs="Arial"/>
          <w:sz w:val="28"/>
          <w:szCs w:val="28"/>
          <w:rtl/>
        </w:rPr>
        <w:t>هذه الأهداف ترتبط ارتباطاً وثيقاً بالمدخل السلطوي، حيث يوفر الإطار أساساً لفرض المعايير التي تضمن الحيادية من خلال تجنب التحيزات، والمساءلة من خلال الكشف الشفاف عن الأداء.</w:t>
      </w:r>
      <w:r>
        <w:rPr>
          <w:rFonts w:cs="Arial" w:hint="cs"/>
          <w:sz w:val="28"/>
          <w:szCs w:val="28"/>
          <w:rtl/>
        </w:rPr>
        <w:t xml:space="preserve"> </w:t>
      </w:r>
      <w:r w:rsidRPr="00340EC5">
        <w:rPr>
          <w:rFonts w:cs="Arial"/>
          <w:sz w:val="28"/>
          <w:szCs w:val="28"/>
          <w:rtl/>
        </w:rPr>
        <w:t>فيما يتعلق بقياس الأداء الاقتصادي الحقيقي، تساهم المعايير المحاسبية في المدخل السلطوي في تصحيح التشوهات الناتجة عن التضخم. على سبيل المثال، يحدد المعيار الدولي</w:t>
      </w:r>
      <w:r w:rsidRPr="00340EC5">
        <w:rPr>
          <w:rFonts w:cs="Arial"/>
          <w:sz w:val="28"/>
          <w:szCs w:val="28"/>
        </w:rPr>
        <w:t xml:space="preserve"> IAS 29 (Financial Reporting in Hyperinflationary Economies) </w:t>
      </w:r>
      <w:r w:rsidRPr="00340EC5">
        <w:rPr>
          <w:rFonts w:cs="Arial"/>
          <w:sz w:val="28"/>
          <w:szCs w:val="28"/>
          <w:rtl/>
        </w:rPr>
        <w:t xml:space="preserve">إجراءات لإعادة صياغة </w:t>
      </w:r>
      <w:r>
        <w:rPr>
          <w:rFonts w:cs="Arial"/>
          <w:sz w:val="28"/>
          <w:szCs w:val="28"/>
          <w:rtl/>
        </w:rPr>
        <w:t>الكشوفات المالية</w:t>
      </w:r>
      <w:r w:rsidRPr="00340EC5">
        <w:rPr>
          <w:rFonts w:cs="Arial"/>
          <w:sz w:val="28"/>
          <w:szCs w:val="28"/>
          <w:rtl/>
        </w:rPr>
        <w:t xml:space="preserve"> في الاقتصادات المتضخمة جداً، حيث يتم تعديل جميع المبالغ باستخدام مؤشر أسعار عام ليعكس القيمة الحالية في نهاية الفترة التقريرية</w:t>
      </w:r>
      <w:r w:rsidRPr="00340EC5">
        <w:rPr>
          <w:rFonts w:cs="Arial"/>
          <w:sz w:val="28"/>
          <w:szCs w:val="28"/>
        </w:rPr>
        <w:t xml:space="preserve">. </w:t>
      </w:r>
      <w:r>
        <w:rPr>
          <w:rFonts w:cs="Arial" w:hint="cs"/>
          <w:sz w:val="28"/>
          <w:szCs w:val="28"/>
          <w:rtl/>
        </w:rPr>
        <w:t xml:space="preserve">  </w:t>
      </w:r>
    </w:p>
    <w:p w:rsidR="0006671E" w:rsidRDefault="0006671E" w:rsidP="0006671E">
      <w:pPr>
        <w:bidi/>
        <w:spacing w:line="360" w:lineRule="auto"/>
        <w:jc w:val="lowKashida"/>
        <w:rPr>
          <w:rFonts w:cs="Arial"/>
          <w:sz w:val="28"/>
          <w:szCs w:val="28"/>
          <w:rtl/>
        </w:rPr>
      </w:pPr>
      <w:r w:rsidRPr="00340EC5">
        <w:rPr>
          <w:rFonts w:cs="Arial"/>
          <w:sz w:val="28"/>
          <w:szCs w:val="28"/>
        </w:rPr>
        <w:lastRenderedPageBreak/>
        <w:t xml:space="preserve"> </w:t>
      </w:r>
      <w:r w:rsidRPr="00340EC5">
        <w:rPr>
          <w:rFonts w:cs="Arial"/>
          <w:sz w:val="28"/>
          <w:szCs w:val="28"/>
          <w:rtl/>
        </w:rPr>
        <w:t>هذا يمنع التشوهات في قياس الأداء، مثل تضخم الأصول غير النقدية أو تآكل القيمة الشرائية للنقد. دراسات حديثة (2023-2024) تظهر تطبيق</w:t>
      </w:r>
      <w:r w:rsidRPr="00340EC5">
        <w:rPr>
          <w:rFonts w:cs="Arial"/>
          <w:sz w:val="28"/>
          <w:szCs w:val="28"/>
        </w:rPr>
        <w:t xml:space="preserve"> IAS 29 </w:t>
      </w:r>
      <w:r w:rsidRPr="00340EC5">
        <w:rPr>
          <w:rFonts w:cs="Arial"/>
          <w:sz w:val="28"/>
          <w:szCs w:val="28"/>
          <w:rtl/>
        </w:rPr>
        <w:t>في دول مثل الأرجنتين (منذ 2018) وتركيا (منذ 2022)، حيث أدى إلى تحسين دقة قياس الأداء الاقتصادي أثناء التضخم المرتفع، مما يعزز الثقة في التقارير المالية</w:t>
      </w:r>
      <w:r w:rsidRPr="00340EC5">
        <w:rPr>
          <w:rFonts w:cs="Arial"/>
          <w:sz w:val="28"/>
          <w:szCs w:val="28"/>
        </w:rPr>
        <w:t xml:space="preserve">. </w:t>
      </w:r>
      <w:r>
        <w:rPr>
          <w:rFonts w:cs="Arial" w:hint="cs"/>
          <w:sz w:val="28"/>
          <w:szCs w:val="28"/>
          <w:rtl/>
        </w:rPr>
        <w:t xml:space="preserve">  </w:t>
      </w:r>
    </w:p>
    <w:p w:rsidR="0006671E" w:rsidRPr="00340EC5" w:rsidRDefault="0006671E" w:rsidP="0006671E">
      <w:pPr>
        <w:bidi/>
        <w:spacing w:line="360" w:lineRule="auto"/>
        <w:jc w:val="lowKashida"/>
        <w:rPr>
          <w:rFonts w:cs="Arial"/>
          <w:sz w:val="28"/>
          <w:szCs w:val="28"/>
          <w:rtl/>
        </w:rPr>
      </w:pPr>
      <w:r w:rsidRPr="00340EC5">
        <w:rPr>
          <w:rFonts w:cs="Arial"/>
          <w:sz w:val="28"/>
          <w:szCs w:val="28"/>
        </w:rPr>
        <w:t xml:space="preserve"> </w:t>
      </w:r>
      <w:r w:rsidRPr="00340EC5">
        <w:rPr>
          <w:rFonts w:cs="Arial"/>
          <w:sz w:val="28"/>
          <w:szCs w:val="28"/>
          <w:rtl/>
        </w:rPr>
        <w:t>في عام 2024، أصبحت دول مثل بوروندي ومالاوي متضخمة جداً، مما يتطلب تطبيق</w:t>
      </w:r>
      <w:r w:rsidRPr="00340EC5">
        <w:rPr>
          <w:rFonts w:cs="Arial"/>
          <w:sz w:val="28"/>
          <w:szCs w:val="28"/>
        </w:rPr>
        <w:t xml:space="preserve"> IAS 29 </w:t>
      </w:r>
      <w:r w:rsidRPr="00340EC5">
        <w:rPr>
          <w:rFonts w:cs="Arial"/>
          <w:sz w:val="28"/>
          <w:szCs w:val="28"/>
          <w:rtl/>
        </w:rPr>
        <w:t xml:space="preserve">لضمان قياس حقيقي للأداء الاقتصادي، حيث يتم تعديل </w:t>
      </w:r>
      <w:r>
        <w:rPr>
          <w:rFonts w:cs="Arial"/>
          <w:sz w:val="28"/>
          <w:szCs w:val="28"/>
          <w:rtl/>
        </w:rPr>
        <w:t>الكشوفات المالية</w:t>
      </w:r>
      <w:r w:rsidRPr="00340EC5">
        <w:rPr>
          <w:rFonts w:cs="Arial"/>
          <w:sz w:val="28"/>
          <w:szCs w:val="28"/>
          <w:rtl/>
        </w:rPr>
        <w:t xml:space="preserve"> لتعكس فقدان القيمة الشرائية، مما يساعد المستثمرين في تقييم النتائج الحقيقية بعيداً عن تأثيرات التضخم.</w:t>
      </w:r>
      <w:r>
        <w:rPr>
          <w:rFonts w:cs="Arial" w:hint="cs"/>
          <w:sz w:val="28"/>
          <w:szCs w:val="28"/>
          <w:rtl/>
        </w:rPr>
        <w:t xml:space="preserve"> </w:t>
      </w:r>
      <w:r w:rsidRPr="00340EC5">
        <w:rPr>
          <w:rFonts w:cs="Arial"/>
          <w:sz w:val="28"/>
          <w:szCs w:val="28"/>
          <w:rtl/>
        </w:rPr>
        <w:t>في سياق الدول النامية، يبرز المدخل السلطوي كأداة حاسمة لتحقيق التوحيد المحاسبي، من خلال استراتيجيات مثل تبني المعايير الدولية للتقارير المالية</w:t>
      </w:r>
      <w:r w:rsidRPr="00340EC5">
        <w:rPr>
          <w:rFonts w:cs="Arial"/>
          <w:sz w:val="28"/>
          <w:szCs w:val="28"/>
        </w:rPr>
        <w:t xml:space="preserve"> (IFRS) </w:t>
      </w:r>
      <w:r w:rsidRPr="00340EC5">
        <w:rPr>
          <w:rFonts w:cs="Arial"/>
          <w:sz w:val="28"/>
          <w:szCs w:val="28"/>
          <w:rtl/>
        </w:rPr>
        <w:t>أو النهج الظرفي</w:t>
      </w:r>
      <w:r w:rsidRPr="00340EC5">
        <w:rPr>
          <w:rFonts w:cs="Arial"/>
          <w:sz w:val="28"/>
          <w:szCs w:val="28"/>
        </w:rPr>
        <w:t xml:space="preserve"> (</w:t>
      </w:r>
      <w:proofErr w:type="spellStart"/>
      <w:r w:rsidRPr="00340EC5">
        <w:rPr>
          <w:rFonts w:cs="Arial"/>
          <w:sz w:val="28"/>
          <w:szCs w:val="28"/>
        </w:rPr>
        <w:t>Situationist</w:t>
      </w:r>
      <w:proofErr w:type="spellEnd"/>
      <w:r w:rsidRPr="00340EC5">
        <w:rPr>
          <w:rFonts w:cs="Arial"/>
          <w:sz w:val="28"/>
          <w:szCs w:val="28"/>
        </w:rPr>
        <w:t xml:space="preserve"> Approach)</w:t>
      </w:r>
      <w:r w:rsidRPr="00340EC5">
        <w:rPr>
          <w:rFonts w:cs="Arial"/>
          <w:sz w:val="28"/>
          <w:szCs w:val="28"/>
          <w:rtl/>
        </w:rPr>
        <w:t>، الذي يتكيف مع السياقات المحلية دون فقدان التوافق العالمي. دراسات حديثة (2020-2024) تشير إلى أن تبني</w:t>
      </w:r>
      <w:r w:rsidRPr="00340EC5">
        <w:rPr>
          <w:rFonts w:cs="Arial"/>
          <w:sz w:val="28"/>
          <w:szCs w:val="28"/>
        </w:rPr>
        <w:t xml:space="preserve"> IFRS </w:t>
      </w:r>
      <w:r w:rsidRPr="00340EC5">
        <w:rPr>
          <w:rFonts w:cs="Arial"/>
          <w:sz w:val="28"/>
          <w:szCs w:val="28"/>
          <w:rtl/>
        </w:rPr>
        <w:t>في الدول النامية يعزز جودة التقارير المالية، مما يؤدي إلى زيادة الشفافية والمساءلة، وبالتالي جذب الاستثمارات الأجنبية</w:t>
      </w:r>
      <w:r w:rsidRPr="00340EC5">
        <w:rPr>
          <w:rFonts w:cs="Arial"/>
          <w:sz w:val="28"/>
          <w:szCs w:val="28"/>
        </w:rPr>
        <w:t xml:space="preserve">. </w:t>
      </w:r>
    </w:p>
    <w:p w:rsidR="0006671E" w:rsidRPr="00340EC5" w:rsidRDefault="0006671E" w:rsidP="0006671E">
      <w:pPr>
        <w:bidi/>
        <w:spacing w:line="360" w:lineRule="auto"/>
        <w:jc w:val="lowKashida"/>
        <w:rPr>
          <w:rFonts w:cs="Arial"/>
          <w:sz w:val="28"/>
          <w:szCs w:val="28"/>
          <w:rtl/>
        </w:rPr>
      </w:pPr>
      <w:r>
        <w:rPr>
          <w:rFonts w:cs="Arial" w:hint="cs"/>
          <w:sz w:val="28"/>
          <w:szCs w:val="28"/>
          <w:rtl/>
        </w:rPr>
        <w:t xml:space="preserve"> </w:t>
      </w:r>
      <w:r w:rsidRPr="00340EC5">
        <w:rPr>
          <w:rFonts w:cs="Arial"/>
          <w:sz w:val="28"/>
          <w:szCs w:val="28"/>
        </w:rPr>
        <w:t xml:space="preserve"> </w:t>
      </w:r>
      <w:r w:rsidRPr="00340EC5">
        <w:rPr>
          <w:rFonts w:cs="Arial"/>
          <w:sz w:val="28"/>
          <w:szCs w:val="28"/>
          <w:rtl/>
        </w:rPr>
        <w:t>على سبيل المثال، في منطقة الشرق الأوسط وشمال أفريقيا</w:t>
      </w:r>
      <w:r w:rsidRPr="00340EC5">
        <w:rPr>
          <w:rFonts w:cs="Arial"/>
          <w:sz w:val="28"/>
          <w:szCs w:val="28"/>
        </w:rPr>
        <w:t xml:space="preserve"> (MENA)</w:t>
      </w:r>
      <w:r w:rsidRPr="00340EC5">
        <w:rPr>
          <w:rFonts w:cs="Arial"/>
          <w:sz w:val="28"/>
          <w:szCs w:val="28"/>
          <w:rtl/>
        </w:rPr>
        <w:t>، أظهرت دراسة لعام 2024 أن تحسين جودة الحوكمة والانفتاح التجاري الدولي هما عوامل رئيسية في تبني</w:t>
      </w:r>
      <w:r w:rsidRPr="00340EC5">
        <w:rPr>
          <w:rFonts w:cs="Arial"/>
          <w:sz w:val="28"/>
          <w:szCs w:val="28"/>
        </w:rPr>
        <w:t xml:space="preserve"> IFRS</w:t>
      </w:r>
      <w:r w:rsidRPr="00340EC5">
        <w:rPr>
          <w:rFonts w:cs="Arial"/>
          <w:sz w:val="28"/>
          <w:szCs w:val="28"/>
          <w:rtl/>
        </w:rPr>
        <w:t>، مما يقلل من الضغوط المؤسسية المحلية ويعزز النمو الاقتصادي</w:t>
      </w:r>
      <w:r w:rsidRPr="00340EC5">
        <w:rPr>
          <w:rFonts w:cs="Arial"/>
          <w:sz w:val="28"/>
          <w:szCs w:val="28"/>
        </w:rPr>
        <w:t xml:space="preserve">. </w:t>
      </w:r>
      <w:r>
        <w:rPr>
          <w:rFonts w:cs="Arial" w:hint="cs"/>
          <w:sz w:val="28"/>
          <w:szCs w:val="28"/>
          <w:rtl/>
        </w:rPr>
        <w:t xml:space="preserve">  </w:t>
      </w:r>
    </w:p>
    <w:p w:rsidR="0006671E" w:rsidRPr="00340EC5" w:rsidRDefault="0006671E" w:rsidP="0006671E">
      <w:pPr>
        <w:bidi/>
        <w:spacing w:line="360" w:lineRule="auto"/>
        <w:jc w:val="lowKashida"/>
        <w:rPr>
          <w:rFonts w:cs="Arial"/>
          <w:sz w:val="28"/>
          <w:szCs w:val="28"/>
          <w:rtl/>
        </w:rPr>
      </w:pPr>
      <w:r w:rsidRPr="00340EC5">
        <w:rPr>
          <w:rFonts w:cs="Arial"/>
          <w:sz w:val="28"/>
          <w:szCs w:val="28"/>
        </w:rPr>
        <w:t xml:space="preserve"> </w:t>
      </w:r>
      <w:r w:rsidRPr="00340EC5">
        <w:rPr>
          <w:rFonts w:cs="Arial"/>
          <w:sz w:val="28"/>
          <w:szCs w:val="28"/>
          <w:rtl/>
        </w:rPr>
        <w:t>ومع ذلك، تواجه هذه الدول تحديات مثل ارتفاع تكاليف التنفيذ، نقص الخبرة المهنية، والتناقضات بين المعايير الدولية والتشريعات المحلية، كما أشارت دراسات في دول أفريقية وآسيوية (2022-2024)، حيث أدى تبني</w:t>
      </w:r>
      <w:r w:rsidRPr="00340EC5">
        <w:rPr>
          <w:rFonts w:cs="Arial"/>
          <w:sz w:val="28"/>
          <w:szCs w:val="28"/>
        </w:rPr>
        <w:t xml:space="preserve"> IFRS </w:t>
      </w:r>
      <w:r w:rsidRPr="00340EC5">
        <w:rPr>
          <w:rFonts w:cs="Arial"/>
          <w:sz w:val="28"/>
          <w:szCs w:val="28"/>
          <w:rtl/>
        </w:rPr>
        <w:t>إلى تحسين الجودة المالية بنسبة تصل إلى 20-30%، لكن مع زيادة تعقيد التقارير.</w:t>
      </w:r>
      <w:r>
        <w:rPr>
          <w:rFonts w:cs="Arial" w:hint="cs"/>
          <w:sz w:val="28"/>
          <w:szCs w:val="28"/>
          <w:rtl/>
        </w:rPr>
        <w:t xml:space="preserve"> </w:t>
      </w:r>
      <w:r w:rsidRPr="00340EC5">
        <w:rPr>
          <w:rFonts w:cs="Arial"/>
          <w:sz w:val="28"/>
          <w:szCs w:val="28"/>
          <w:rtl/>
        </w:rPr>
        <w:t>يمتد تأثير هذه الأهداف إلى نقل التكنولوجيا المحاسبية، حيث يساهم المدخل السلطوي في بناء القدرات المحلية من خلال تدريب المهنيين وتطوير الهيئات التنظيمية. في دراسة لعام 2023، وجد أن تبني</w:t>
      </w:r>
      <w:r w:rsidRPr="00340EC5">
        <w:rPr>
          <w:rFonts w:cs="Arial"/>
          <w:sz w:val="28"/>
          <w:szCs w:val="28"/>
        </w:rPr>
        <w:t xml:space="preserve"> IFRS </w:t>
      </w:r>
      <w:r w:rsidRPr="00340EC5">
        <w:rPr>
          <w:rFonts w:cs="Arial"/>
          <w:sz w:val="28"/>
          <w:szCs w:val="28"/>
          <w:rtl/>
        </w:rPr>
        <w:t>في الدول النامية يعزز النمو الاقتصادي بنسبة 1-2% سنوياً من خلال تحسين الوصول إلى الأسواق الدولية، كما في حالات مثل الهند ونيجيريا</w:t>
      </w:r>
      <w:r w:rsidRPr="00340EC5">
        <w:rPr>
          <w:rFonts w:cs="Arial"/>
          <w:sz w:val="28"/>
          <w:szCs w:val="28"/>
        </w:rPr>
        <w:t xml:space="preserve">. </w:t>
      </w:r>
    </w:p>
    <w:p w:rsidR="0006671E" w:rsidRPr="00340EC5" w:rsidRDefault="0006671E" w:rsidP="0006671E">
      <w:pPr>
        <w:bidi/>
        <w:spacing w:line="360" w:lineRule="auto"/>
        <w:jc w:val="lowKashida"/>
        <w:rPr>
          <w:rFonts w:cs="Arial"/>
          <w:sz w:val="28"/>
          <w:szCs w:val="28"/>
          <w:rtl/>
        </w:rPr>
      </w:pPr>
      <w:r>
        <w:rPr>
          <w:rFonts w:cs="Arial" w:hint="cs"/>
          <w:sz w:val="28"/>
          <w:szCs w:val="28"/>
          <w:rtl/>
        </w:rPr>
        <w:t xml:space="preserve"> </w:t>
      </w:r>
      <w:r w:rsidRPr="00340EC5">
        <w:rPr>
          <w:rFonts w:cs="Arial"/>
          <w:sz w:val="28"/>
          <w:szCs w:val="28"/>
        </w:rPr>
        <w:t xml:space="preserve"> </w:t>
      </w:r>
      <w:r w:rsidRPr="00340EC5">
        <w:rPr>
          <w:rFonts w:cs="Arial"/>
          <w:sz w:val="28"/>
          <w:szCs w:val="28"/>
          <w:rtl/>
        </w:rPr>
        <w:t>هذا النهج يعكس كيف يمكن للمعايير السلطوية أن تكون محفزاً للتنمية، مع الحاجة إلى استراتيجيات محلية للتغلب على التحديات.</w:t>
      </w:r>
      <w:r>
        <w:rPr>
          <w:rFonts w:cs="Arial" w:hint="cs"/>
          <w:sz w:val="28"/>
          <w:szCs w:val="28"/>
          <w:rtl/>
        </w:rPr>
        <w:t xml:space="preserve"> و</w:t>
      </w:r>
      <w:r w:rsidRPr="00340EC5">
        <w:rPr>
          <w:rFonts w:cs="Arial"/>
          <w:sz w:val="28"/>
          <w:szCs w:val="28"/>
          <w:rtl/>
        </w:rPr>
        <w:t>تكمن أهمية أهداف وضع المعايير في المدخل السلطوي في قدرتها على خلق نظام محاسبي متماسك يدعم الاستقرار الاقتصادي العالمي. مع التحديثات الحديثة في الإطارات المفاهيمية وتطبيقات مثل</w:t>
      </w:r>
      <w:r w:rsidRPr="00340EC5">
        <w:rPr>
          <w:rFonts w:cs="Arial"/>
          <w:sz w:val="28"/>
          <w:szCs w:val="28"/>
        </w:rPr>
        <w:t xml:space="preserve"> IAS 29</w:t>
      </w:r>
      <w:r w:rsidRPr="00340EC5">
        <w:rPr>
          <w:rFonts w:cs="Arial"/>
          <w:sz w:val="28"/>
          <w:szCs w:val="28"/>
          <w:rtl/>
        </w:rPr>
        <w:t xml:space="preserve">، يستمر هذا المدخل في </w:t>
      </w:r>
      <w:r w:rsidRPr="00340EC5">
        <w:rPr>
          <w:rFonts w:cs="Arial"/>
          <w:sz w:val="28"/>
          <w:szCs w:val="28"/>
          <w:rtl/>
        </w:rPr>
        <w:lastRenderedPageBreak/>
        <w:t>التكيف مع التحديات الاقتصادية، خاصة في الدول النامية، لضمان تقارير مالية تعزز الثقة والنمو</w:t>
      </w:r>
      <w:r w:rsidRPr="00340EC5">
        <w:rPr>
          <w:rFonts w:cs="Arial"/>
          <w:sz w:val="28"/>
          <w:szCs w:val="28"/>
        </w:rPr>
        <w:t>.</w:t>
      </w:r>
    </w:p>
    <w:p w:rsidR="0006671E" w:rsidRPr="008E34EE" w:rsidRDefault="0006671E" w:rsidP="0006671E">
      <w:pPr>
        <w:pStyle w:val="ListParagraph"/>
        <w:numPr>
          <w:ilvl w:val="0"/>
          <w:numId w:val="2"/>
        </w:numPr>
        <w:bidi/>
        <w:spacing w:line="360" w:lineRule="auto"/>
        <w:jc w:val="both"/>
        <w:rPr>
          <w:b/>
          <w:bCs/>
          <w:sz w:val="28"/>
          <w:szCs w:val="28"/>
          <w:rtl/>
        </w:rPr>
      </w:pPr>
      <w:r w:rsidRPr="008E34EE">
        <w:rPr>
          <w:rFonts w:hint="cs"/>
          <w:b/>
          <w:bCs/>
          <w:sz w:val="28"/>
          <w:szCs w:val="28"/>
          <w:rtl/>
        </w:rPr>
        <w:t>المنظمات المعنية بوضع المعايير المحاسبية</w:t>
      </w:r>
    </w:p>
    <w:p w:rsidR="0006671E" w:rsidRDefault="0006671E" w:rsidP="0006671E">
      <w:pPr>
        <w:bidi/>
        <w:spacing w:line="360" w:lineRule="auto"/>
        <w:jc w:val="lowKashida"/>
        <w:rPr>
          <w:rFonts w:cs="Arial"/>
          <w:sz w:val="28"/>
          <w:szCs w:val="28"/>
          <w:rtl/>
        </w:rPr>
      </w:pPr>
      <w:r w:rsidRPr="00E3753C">
        <w:rPr>
          <w:rFonts w:cs="Arial"/>
          <w:sz w:val="28"/>
          <w:szCs w:val="28"/>
          <w:rtl/>
        </w:rPr>
        <w:t>في المدخل السلطوي، تُعتبر المنظمات المهنية والتنظيمية مصادر أساسية للشرعية، حيث توفر إطارًا يضمن التوحيد والامتثال. الجمعية الأمريكية للمحاسبين المعتمدين</w:t>
      </w:r>
      <w:r w:rsidRPr="00E3753C">
        <w:rPr>
          <w:rFonts w:cs="Arial"/>
          <w:sz w:val="28"/>
          <w:szCs w:val="28"/>
        </w:rPr>
        <w:t xml:space="preserve"> (AICPA) </w:t>
      </w:r>
      <w:r w:rsidRPr="00E3753C">
        <w:rPr>
          <w:rFonts w:cs="Arial"/>
          <w:sz w:val="28"/>
          <w:szCs w:val="28"/>
          <w:rtl/>
        </w:rPr>
        <w:t>تمثل الجانب المهني، حيث تطور المعايير المتعلقة بالتدقيق والضمان، وتدعم التعليم المستمر للمحاسبين. في السنوات الأخيرة، ساهمت</w:t>
      </w:r>
      <w:r w:rsidRPr="00E3753C">
        <w:rPr>
          <w:rFonts w:cs="Arial"/>
          <w:sz w:val="28"/>
          <w:szCs w:val="28"/>
        </w:rPr>
        <w:t xml:space="preserve"> AICPA </w:t>
      </w:r>
      <w:r w:rsidRPr="00E3753C">
        <w:rPr>
          <w:rFonts w:cs="Arial"/>
          <w:sz w:val="28"/>
          <w:szCs w:val="28"/>
          <w:rtl/>
        </w:rPr>
        <w:t>في تحديث معاييرها، مثل إصدار بيانات المعايير للخدمات المحاسبية والمراجعة</w:t>
      </w:r>
      <w:r w:rsidRPr="00E3753C">
        <w:rPr>
          <w:rFonts w:cs="Arial"/>
          <w:sz w:val="28"/>
          <w:szCs w:val="28"/>
        </w:rPr>
        <w:t xml:space="preserve"> (SSARS) </w:t>
      </w:r>
      <w:r w:rsidRPr="00E3753C">
        <w:rPr>
          <w:rFonts w:cs="Arial"/>
          <w:sz w:val="28"/>
          <w:szCs w:val="28"/>
          <w:rtl/>
        </w:rPr>
        <w:t>في ديسمبر 2025، والتي تركز على تحسين الإفصاحات في التقارير غير المدققة للكيانات غير العامة. كما شاركت في مؤتمرها السنوي لعام 2025 حول التطورات في</w:t>
      </w:r>
      <w:r w:rsidRPr="00E3753C">
        <w:rPr>
          <w:rFonts w:cs="Arial"/>
          <w:sz w:val="28"/>
          <w:szCs w:val="28"/>
        </w:rPr>
        <w:t xml:space="preserve"> SEC </w:t>
      </w:r>
      <w:r w:rsidRPr="00E3753C">
        <w:rPr>
          <w:rFonts w:cs="Arial"/>
          <w:sz w:val="28"/>
          <w:szCs w:val="28"/>
          <w:rtl/>
        </w:rPr>
        <w:t>و</w:t>
      </w:r>
      <w:r w:rsidRPr="00E3753C">
        <w:rPr>
          <w:rFonts w:cs="Arial"/>
          <w:sz w:val="28"/>
          <w:szCs w:val="28"/>
        </w:rPr>
        <w:t>PCAOB</w:t>
      </w:r>
      <w:r w:rsidRPr="00E3753C">
        <w:rPr>
          <w:rFonts w:cs="Arial"/>
          <w:sz w:val="28"/>
          <w:szCs w:val="28"/>
          <w:rtl/>
        </w:rPr>
        <w:t>، حيث ناقشت تحديات الامتثال للمعايير الجديدة مثل</w:t>
      </w:r>
      <w:r w:rsidRPr="00E3753C">
        <w:rPr>
          <w:rFonts w:cs="Arial"/>
          <w:sz w:val="28"/>
          <w:szCs w:val="28"/>
        </w:rPr>
        <w:t xml:space="preserve"> ASU 2023-09 </w:t>
      </w:r>
      <w:r w:rsidRPr="00E3753C">
        <w:rPr>
          <w:rFonts w:cs="Arial"/>
          <w:sz w:val="28"/>
          <w:szCs w:val="28"/>
          <w:rtl/>
        </w:rPr>
        <w:t>المتعلقة بتحسينات الإفصاحات الضريبية. هذه الأنشطة تعكس دور</w:t>
      </w:r>
      <w:r w:rsidRPr="00E3753C">
        <w:rPr>
          <w:rFonts w:cs="Arial"/>
          <w:sz w:val="28"/>
          <w:szCs w:val="28"/>
        </w:rPr>
        <w:t xml:space="preserve"> AICPA </w:t>
      </w:r>
      <w:r w:rsidRPr="00E3753C">
        <w:rPr>
          <w:rFonts w:cs="Arial"/>
          <w:sz w:val="28"/>
          <w:szCs w:val="28"/>
          <w:rtl/>
        </w:rPr>
        <w:t>في تعزيز الجودة المحاسبية، مع التركيز على التكيف مع التحديات الناشئة مثل التكنولوجيا الرقمية والذكاء الاصطناعي في التدقيق.</w:t>
      </w:r>
      <w:r>
        <w:rPr>
          <w:rFonts w:cs="Arial" w:hint="cs"/>
          <w:sz w:val="28"/>
          <w:szCs w:val="28"/>
          <w:rtl/>
        </w:rPr>
        <w:t xml:space="preserve"> </w:t>
      </w:r>
    </w:p>
    <w:p w:rsidR="0006671E" w:rsidRDefault="0006671E" w:rsidP="0006671E">
      <w:pPr>
        <w:bidi/>
        <w:spacing w:line="360" w:lineRule="auto"/>
        <w:jc w:val="lowKashida"/>
        <w:rPr>
          <w:rFonts w:cs="Arial"/>
          <w:sz w:val="28"/>
          <w:szCs w:val="28"/>
          <w:rtl/>
        </w:rPr>
      </w:pPr>
      <w:r w:rsidRPr="00E3753C">
        <w:rPr>
          <w:rFonts w:cs="Arial"/>
          <w:sz w:val="28"/>
          <w:szCs w:val="28"/>
          <w:rtl/>
        </w:rPr>
        <w:t>أما مجلس المعايير المحاسبية المالية</w:t>
      </w:r>
      <w:r w:rsidRPr="00E3753C">
        <w:rPr>
          <w:rFonts w:cs="Arial"/>
          <w:sz w:val="28"/>
          <w:szCs w:val="28"/>
        </w:rPr>
        <w:t xml:space="preserve"> (FASB)</w:t>
      </w:r>
      <w:r w:rsidRPr="00E3753C">
        <w:rPr>
          <w:rFonts w:cs="Arial"/>
          <w:sz w:val="28"/>
          <w:szCs w:val="28"/>
          <w:rtl/>
        </w:rPr>
        <w:t>، فهو الجهة الرئيسية في القطاع الخاص الأمريكي لصياغة المعايير المالية</w:t>
      </w:r>
      <w:r w:rsidRPr="00E3753C">
        <w:rPr>
          <w:rFonts w:cs="Arial"/>
          <w:sz w:val="28"/>
          <w:szCs w:val="28"/>
        </w:rPr>
        <w:t xml:space="preserve"> (GAAP). </w:t>
      </w:r>
      <w:r w:rsidRPr="00E3753C">
        <w:rPr>
          <w:rFonts w:cs="Arial"/>
          <w:sz w:val="28"/>
          <w:szCs w:val="28"/>
          <w:rtl/>
        </w:rPr>
        <w:t>منذ 2023، أصدر</w:t>
      </w:r>
      <w:r w:rsidRPr="00E3753C">
        <w:rPr>
          <w:rFonts w:cs="Arial"/>
          <w:sz w:val="28"/>
          <w:szCs w:val="28"/>
        </w:rPr>
        <w:t xml:space="preserve"> FASB </w:t>
      </w:r>
      <w:r w:rsidRPr="00E3753C">
        <w:rPr>
          <w:rFonts w:cs="Arial"/>
          <w:sz w:val="28"/>
          <w:szCs w:val="28"/>
          <w:rtl/>
        </w:rPr>
        <w:t>عدة تحديثات هامة، مثل</w:t>
      </w:r>
      <w:r w:rsidRPr="00E3753C">
        <w:rPr>
          <w:rFonts w:cs="Arial"/>
          <w:sz w:val="28"/>
          <w:szCs w:val="28"/>
        </w:rPr>
        <w:t xml:space="preserve"> ASU 2023-08 </w:t>
      </w:r>
      <w:r w:rsidRPr="00E3753C">
        <w:rPr>
          <w:rFonts w:cs="Arial"/>
          <w:sz w:val="28"/>
          <w:szCs w:val="28"/>
          <w:rtl/>
        </w:rPr>
        <w:t>المتعلق بحساب وإفصاح الأصول المشفرة، والذي يهدف إلى تحسين الشفافية في التقارير المتعلقة بالأصول الرقمية، مما يعكس استجابة للتطورات في الأسواق المالية الرقمية. في 2024، أصدر</w:t>
      </w:r>
      <w:r w:rsidRPr="00E3753C">
        <w:rPr>
          <w:rFonts w:cs="Arial"/>
          <w:sz w:val="28"/>
          <w:szCs w:val="28"/>
        </w:rPr>
        <w:t xml:space="preserve"> ASU 2024-03 </w:t>
      </w:r>
      <w:r w:rsidRPr="00E3753C">
        <w:rPr>
          <w:rFonts w:cs="Arial"/>
          <w:sz w:val="28"/>
          <w:szCs w:val="28"/>
          <w:rtl/>
        </w:rPr>
        <w:t>لتحسين إفصاحات الدخل الشامل، بما في ذلك تفكيك مصروفات الدخل، و</w:t>
      </w:r>
      <w:r w:rsidRPr="00E3753C">
        <w:rPr>
          <w:rFonts w:cs="Arial"/>
          <w:sz w:val="28"/>
          <w:szCs w:val="28"/>
        </w:rPr>
        <w:t xml:space="preserve">ASU 2024-04 </w:t>
      </w:r>
      <w:r w:rsidRPr="00E3753C">
        <w:rPr>
          <w:rFonts w:cs="Arial"/>
          <w:sz w:val="28"/>
          <w:szCs w:val="28"/>
          <w:rtl/>
        </w:rPr>
        <w:t>لتحويلات الديون القابلة للتحويل. أما في 2025، فقد أصدر</w:t>
      </w:r>
      <w:r w:rsidRPr="00E3753C">
        <w:rPr>
          <w:rFonts w:cs="Arial"/>
          <w:sz w:val="28"/>
          <w:szCs w:val="28"/>
        </w:rPr>
        <w:t xml:space="preserve"> FASB </w:t>
      </w:r>
      <w:r w:rsidRPr="00E3753C">
        <w:rPr>
          <w:rFonts w:cs="Arial"/>
          <w:sz w:val="28"/>
          <w:szCs w:val="28"/>
          <w:rtl/>
        </w:rPr>
        <w:t>تحديثات متعددة مثل</w:t>
      </w:r>
      <w:r w:rsidRPr="00E3753C">
        <w:rPr>
          <w:rFonts w:cs="Arial"/>
          <w:sz w:val="28"/>
          <w:szCs w:val="28"/>
        </w:rPr>
        <w:t xml:space="preserve"> ASU 2025-12 </w:t>
      </w:r>
      <w:r w:rsidRPr="00E3753C">
        <w:rPr>
          <w:rFonts w:cs="Arial"/>
          <w:sz w:val="28"/>
          <w:szCs w:val="28"/>
          <w:rtl/>
        </w:rPr>
        <w:t>لتحسينات الكوديفيكيشن، و</w:t>
      </w:r>
      <w:r w:rsidRPr="00E3753C">
        <w:rPr>
          <w:rFonts w:cs="Arial"/>
          <w:sz w:val="28"/>
          <w:szCs w:val="28"/>
        </w:rPr>
        <w:t xml:space="preserve">ASU 2025-11 </w:t>
      </w:r>
      <w:r w:rsidRPr="00E3753C">
        <w:rPr>
          <w:rFonts w:cs="Arial"/>
          <w:sz w:val="28"/>
          <w:szCs w:val="28"/>
          <w:rtl/>
        </w:rPr>
        <w:t>لتحسينات التقارير المؤقتة، و</w:t>
      </w:r>
      <w:r w:rsidRPr="00E3753C">
        <w:rPr>
          <w:rFonts w:cs="Arial"/>
          <w:sz w:val="28"/>
          <w:szCs w:val="28"/>
        </w:rPr>
        <w:t xml:space="preserve">ASU 2025-09 </w:t>
      </w:r>
      <w:r w:rsidRPr="00E3753C">
        <w:rPr>
          <w:rFonts w:cs="Arial"/>
          <w:sz w:val="28"/>
          <w:szCs w:val="28"/>
          <w:rtl/>
        </w:rPr>
        <w:t>لتحسينات محاسبة المشتقات. هذه التحديثات، كما ورد في قائمة التحديثات على موقع</w:t>
      </w:r>
      <w:r w:rsidRPr="00E3753C">
        <w:rPr>
          <w:rFonts w:cs="Arial"/>
          <w:sz w:val="28"/>
          <w:szCs w:val="28"/>
        </w:rPr>
        <w:t xml:space="preserve"> FASB</w:t>
      </w:r>
      <w:r w:rsidRPr="00E3753C">
        <w:rPr>
          <w:rFonts w:cs="Arial"/>
          <w:sz w:val="28"/>
          <w:szCs w:val="28"/>
          <w:rtl/>
        </w:rPr>
        <w:t>، تؤكد على التركيز على الإفصاحات المحسنة والتكيف مع التحديات الاقتصادية مثل الخسائر الائتمانية والمنح الحكومية. وفي 2026، يستمر</w:t>
      </w:r>
      <w:r w:rsidRPr="00E3753C">
        <w:rPr>
          <w:rFonts w:cs="Arial"/>
          <w:sz w:val="28"/>
          <w:szCs w:val="28"/>
        </w:rPr>
        <w:t xml:space="preserve"> FASB </w:t>
      </w:r>
      <w:r w:rsidRPr="00E3753C">
        <w:rPr>
          <w:rFonts w:cs="Arial"/>
          <w:sz w:val="28"/>
          <w:szCs w:val="28"/>
          <w:rtl/>
        </w:rPr>
        <w:t>في مناقشة أولوياته من خلال دعوة للتعليقات حتى 30 يونيو 2025، وتعيين أعضاء جدد في لجنة الاستشارية غير الربحية، مما يعزز دوره في التكيف مع الاحتياجات المستقبلية</w:t>
      </w:r>
      <w:r>
        <w:rPr>
          <w:rFonts w:cs="Arial" w:hint="cs"/>
          <w:sz w:val="28"/>
          <w:szCs w:val="28"/>
          <w:rtl/>
        </w:rPr>
        <w:t>.</w:t>
      </w:r>
      <w:r w:rsidRPr="00E3753C">
        <w:rPr>
          <w:rFonts w:cs="Arial"/>
          <w:sz w:val="28"/>
          <w:szCs w:val="28"/>
        </w:rPr>
        <w:t xml:space="preserve"> </w:t>
      </w:r>
    </w:p>
    <w:p w:rsidR="0006671E" w:rsidRDefault="0006671E" w:rsidP="0006671E">
      <w:pPr>
        <w:bidi/>
        <w:spacing w:line="360" w:lineRule="auto"/>
        <w:jc w:val="lowKashida"/>
        <w:rPr>
          <w:rFonts w:cs="Arial"/>
          <w:sz w:val="28"/>
          <w:szCs w:val="28"/>
          <w:rtl/>
        </w:rPr>
      </w:pPr>
      <w:r w:rsidRPr="00E3753C">
        <w:rPr>
          <w:rFonts w:cs="Arial"/>
          <w:sz w:val="28"/>
          <w:szCs w:val="28"/>
          <w:rtl/>
        </w:rPr>
        <w:lastRenderedPageBreak/>
        <w:t>بالنسبة لمجلس المعايير المحاسبية الدولية</w:t>
      </w:r>
      <w:r w:rsidRPr="00E3753C">
        <w:rPr>
          <w:rFonts w:cs="Arial"/>
          <w:sz w:val="28"/>
          <w:szCs w:val="28"/>
        </w:rPr>
        <w:t xml:space="preserve"> (IASB)</w:t>
      </w:r>
      <w:r w:rsidRPr="00E3753C">
        <w:rPr>
          <w:rFonts w:cs="Arial"/>
          <w:sz w:val="28"/>
          <w:szCs w:val="28"/>
          <w:rtl/>
        </w:rPr>
        <w:t>، فهو يركز على المعايير الدولية</w:t>
      </w:r>
      <w:r w:rsidRPr="00E3753C">
        <w:rPr>
          <w:rFonts w:cs="Arial"/>
          <w:sz w:val="28"/>
          <w:szCs w:val="28"/>
        </w:rPr>
        <w:t xml:space="preserve"> (IFRS)</w:t>
      </w:r>
      <w:r w:rsidRPr="00E3753C">
        <w:rPr>
          <w:rFonts w:cs="Arial"/>
          <w:sz w:val="28"/>
          <w:szCs w:val="28"/>
          <w:rtl/>
        </w:rPr>
        <w:t>، مع تحديثات حديثة تعكس التكيف مع التحديات العالمية. في 2023-2024، أصدر</w:t>
      </w:r>
      <w:r w:rsidRPr="00E3753C">
        <w:rPr>
          <w:rFonts w:cs="Arial"/>
          <w:sz w:val="28"/>
          <w:szCs w:val="28"/>
        </w:rPr>
        <w:t xml:space="preserve"> IASB IFRS 18 </w:t>
      </w:r>
      <w:r w:rsidRPr="00E3753C">
        <w:rPr>
          <w:rFonts w:cs="Arial"/>
          <w:sz w:val="28"/>
          <w:szCs w:val="28"/>
          <w:rtl/>
        </w:rPr>
        <w:t xml:space="preserve">لتحسين العروض والإفصاحات في </w:t>
      </w:r>
      <w:r>
        <w:rPr>
          <w:rFonts w:cs="Arial"/>
          <w:sz w:val="28"/>
          <w:szCs w:val="28"/>
          <w:rtl/>
        </w:rPr>
        <w:t>الكشوفات المالية</w:t>
      </w:r>
      <w:r w:rsidRPr="00E3753C">
        <w:rPr>
          <w:rFonts w:cs="Arial"/>
          <w:sz w:val="28"/>
          <w:szCs w:val="28"/>
          <w:rtl/>
        </w:rPr>
        <w:t>، والذي يتطلب بيانات مقارنة من 2026، و</w:t>
      </w:r>
      <w:r w:rsidRPr="00E3753C">
        <w:rPr>
          <w:rFonts w:cs="Arial"/>
          <w:sz w:val="28"/>
          <w:szCs w:val="28"/>
        </w:rPr>
        <w:t xml:space="preserve">IFRS 19 </w:t>
      </w:r>
      <w:r w:rsidRPr="00E3753C">
        <w:rPr>
          <w:rFonts w:cs="Arial"/>
          <w:sz w:val="28"/>
          <w:szCs w:val="28"/>
          <w:rtl/>
        </w:rPr>
        <w:t>للكشف عن الشركات التابعة بدون مساءلة عامة. في 2025، أصدر تعديلات على</w:t>
      </w:r>
      <w:r w:rsidRPr="00E3753C">
        <w:rPr>
          <w:rFonts w:cs="Arial"/>
          <w:sz w:val="28"/>
          <w:szCs w:val="28"/>
        </w:rPr>
        <w:t xml:space="preserve"> IFRS S2 </w:t>
      </w:r>
      <w:r w:rsidRPr="00E3753C">
        <w:rPr>
          <w:rFonts w:cs="Arial"/>
          <w:sz w:val="28"/>
          <w:szCs w:val="28"/>
          <w:rtl/>
        </w:rPr>
        <w:t>لمتطلبات الإفصاح عن انبعاثات الغازات الدفيئة، وتعديلات على</w:t>
      </w:r>
      <w:r w:rsidRPr="00E3753C">
        <w:rPr>
          <w:rFonts w:cs="Arial"/>
          <w:sz w:val="28"/>
          <w:szCs w:val="28"/>
        </w:rPr>
        <w:t xml:space="preserve"> IAS 21 </w:t>
      </w:r>
      <w:r w:rsidRPr="00E3753C">
        <w:rPr>
          <w:rFonts w:cs="Arial"/>
          <w:sz w:val="28"/>
          <w:szCs w:val="28"/>
          <w:rtl/>
        </w:rPr>
        <w:t>لعدم التبادلية، مع خطط لإصدار معيار جديد للأنشطة المنظمة بالأسعار في الربع الثاني من 2026. كما يستمر في استشارات حول نموذج محاسبي جديد لإدارة مخاطر سعر الفائدة، مع تعليقات مستحقة بحلول 31 يوليو 2026. هذه التطورات، كما ورد في موقع</w:t>
      </w:r>
      <w:r w:rsidRPr="00E3753C">
        <w:rPr>
          <w:rFonts w:cs="Arial"/>
          <w:sz w:val="28"/>
          <w:szCs w:val="28"/>
        </w:rPr>
        <w:t xml:space="preserve"> IFRS</w:t>
      </w:r>
      <w:r w:rsidRPr="00E3753C">
        <w:rPr>
          <w:rFonts w:cs="Arial"/>
          <w:sz w:val="28"/>
          <w:szCs w:val="28"/>
          <w:rtl/>
        </w:rPr>
        <w:t>، تهدف إلى تعزيز التوافق العالمي، مع 161 دولة ملتزمة بـ</w:t>
      </w:r>
      <w:r w:rsidRPr="00E3753C">
        <w:rPr>
          <w:rFonts w:cs="Arial"/>
          <w:sz w:val="28"/>
          <w:szCs w:val="28"/>
        </w:rPr>
        <w:t xml:space="preserve">IFRS </w:t>
      </w:r>
      <w:r w:rsidRPr="00E3753C">
        <w:rPr>
          <w:rFonts w:cs="Arial"/>
          <w:sz w:val="28"/>
          <w:szCs w:val="28"/>
          <w:rtl/>
        </w:rPr>
        <w:t>اعتبارًا من مايو 2025</w:t>
      </w:r>
      <w:r w:rsidRPr="00E3753C">
        <w:rPr>
          <w:rFonts w:cs="Arial"/>
          <w:sz w:val="28"/>
          <w:szCs w:val="28"/>
        </w:rPr>
        <w:t xml:space="preserve"> </w:t>
      </w:r>
      <w:r>
        <w:rPr>
          <w:rFonts w:cs="Arial" w:hint="cs"/>
          <w:sz w:val="28"/>
          <w:szCs w:val="28"/>
          <w:rtl/>
        </w:rPr>
        <w:t xml:space="preserve">. </w:t>
      </w:r>
    </w:p>
    <w:p w:rsidR="0006671E" w:rsidRDefault="0006671E" w:rsidP="0006671E">
      <w:pPr>
        <w:bidi/>
        <w:spacing w:line="360" w:lineRule="auto"/>
        <w:jc w:val="lowKashida"/>
        <w:rPr>
          <w:rFonts w:cs="Arial"/>
          <w:sz w:val="28"/>
          <w:szCs w:val="28"/>
          <w:rtl/>
        </w:rPr>
      </w:pPr>
      <w:r w:rsidRPr="00E3753C">
        <w:rPr>
          <w:rFonts w:cs="Arial"/>
          <w:sz w:val="28"/>
          <w:szCs w:val="28"/>
          <w:rtl/>
        </w:rPr>
        <w:t>أما لجنة الأوراق المالية والبورصات</w:t>
      </w:r>
      <w:r w:rsidRPr="00E3753C">
        <w:rPr>
          <w:rFonts w:cs="Arial"/>
          <w:sz w:val="28"/>
          <w:szCs w:val="28"/>
        </w:rPr>
        <w:t xml:space="preserve"> (SEC)</w:t>
      </w:r>
      <w:r w:rsidRPr="00E3753C">
        <w:rPr>
          <w:rFonts w:cs="Arial"/>
          <w:sz w:val="28"/>
          <w:szCs w:val="28"/>
          <w:rtl/>
        </w:rPr>
        <w:t>، فتمثل الجانب الحكومي، حيث تفرض الامتثال للمعايير من خلال الإشراف على الأسواق المالية. في السنوات الأخيرة، أصدرت</w:t>
      </w:r>
      <w:r w:rsidRPr="00E3753C">
        <w:rPr>
          <w:rFonts w:cs="Arial"/>
          <w:sz w:val="28"/>
          <w:szCs w:val="28"/>
        </w:rPr>
        <w:t xml:space="preserve"> SEC </w:t>
      </w:r>
      <w:r w:rsidRPr="00E3753C">
        <w:rPr>
          <w:rFonts w:cs="Arial"/>
          <w:sz w:val="28"/>
          <w:szCs w:val="28"/>
          <w:rtl/>
        </w:rPr>
        <w:t>نشرات مثل</w:t>
      </w:r>
      <w:r w:rsidRPr="00E3753C">
        <w:rPr>
          <w:rFonts w:cs="Arial"/>
          <w:sz w:val="28"/>
          <w:szCs w:val="28"/>
        </w:rPr>
        <w:t xml:space="preserve"> SAB 122 </w:t>
      </w:r>
      <w:r w:rsidRPr="00E3753C">
        <w:rPr>
          <w:rFonts w:cs="Arial"/>
          <w:sz w:val="28"/>
          <w:szCs w:val="28"/>
          <w:rtl/>
        </w:rPr>
        <w:t>في 2025 لتحديث فقرات</w:t>
      </w:r>
      <w:r w:rsidRPr="00E3753C">
        <w:rPr>
          <w:rFonts w:cs="Arial"/>
          <w:sz w:val="28"/>
          <w:szCs w:val="28"/>
        </w:rPr>
        <w:t xml:space="preserve"> SEC </w:t>
      </w:r>
      <w:r w:rsidRPr="00E3753C">
        <w:rPr>
          <w:rFonts w:cs="Arial"/>
          <w:sz w:val="28"/>
          <w:szCs w:val="28"/>
          <w:rtl/>
        </w:rPr>
        <w:t>في المواضيع المالية، وأجرت تحديثات للإفصاحات المتعلقة بالمناخ، رغم إنهاء دفاعها عن قواعد الإفصاح عن مخاطر المناخ في 2025. في 2026، ركزت على التنفيذ، مثل تهمة ضد</w:t>
      </w:r>
      <w:r w:rsidRPr="00E3753C">
        <w:rPr>
          <w:rFonts w:cs="Arial"/>
          <w:sz w:val="28"/>
          <w:szCs w:val="28"/>
        </w:rPr>
        <w:t xml:space="preserve"> ADM </w:t>
      </w:r>
      <w:r w:rsidRPr="00E3753C">
        <w:rPr>
          <w:rFonts w:cs="Arial"/>
          <w:sz w:val="28"/>
          <w:szCs w:val="28"/>
          <w:rtl/>
        </w:rPr>
        <w:t>ومديريها السابقين باحتيال محاسبي في يناير 2026، وأولويات الفحوصات لعام 2026 التي تشمل الامتثال لتعديلات</w:t>
      </w:r>
      <w:r w:rsidRPr="00E3753C">
        <w:rPr>
          <w:rFonts w:cs="Arial"/>
          <w:sz w:val="28"/>
          <w:szCs w:val="28"/>
        </w:rPr>
        <w:t xml:space="preserve"> Regulation S-P </w:t>
      </w:r>
      <w:r w:rsidRPr="00E3753C">
        <w:rPr>
          <w:rFonts w:cs="Arial"/>
          <w:sz w:val="28"/>
          <w:szCs w:val="28"/>
          <w:rtl/>
        </w:rPr>
        <w:t>والأمن السيبراني. هذه الأنشطة تعكس دور</w:t>
      </w:r>
      <w:r w:rsidRPr="00E3753C">
        <w:rPr>
          <w:rFonts w:cs="Arial"/>
          <w:sz w:val="28"/>
          <w:szCs w:val="28"/>
        </w:rPr>
        <w:t xml:space="preserve"> SEC </w:t>
      </w:r>
      <w:r w:rsidRPr="00E3753C">
        <w:rPr>
          <w:rFonts w:cs="Arial"/>
          <w:sz w:val="28"/>
          <w:szCs w:val="28"/>
          <w:rtl/>
        </w:rPr>
        <w:t>في تعزيز الشفافية، مع خطط لتعديلات في التقارير نصف السنوية ومقترحات المساهمين</w:t>
      </w:r>
      <w:r>
        <w:rPr>
          <w:rFonts w:cs="Arial" w:hint="cs"/>
          <w:sz w:val="28"/>
          <w:szCs w:val="28"/>
          <w:rtl/>
        </w:rPr>
        <w:t xml:space="preserve">. </w:t>
      </w:r>
    </w:p>
    <w:p w:rsidR="0006671E" w:rsidRDefault="0006671E" w:rsidP="0006671E">
      <w:pPr>
        <w:bidi/>
        <w:spacing w:line="360" w:lineRule="auto"/>
        <w:jc w:val="lowKashida"/>
        <w:rPr>
          <w:rFonts w:cs="Arial"/>
          <w:sz w:val="28"/>
          <w:szCs w:val="28"/>
          <w:rtl/>
        </w:rPr>
      </w:pPr>
      <w:r>
        <w:rPr>
          <w:rFonts w:cs="Arial" w:hint="cs"/>
          <w:sz w:val="28"/>
          <w:szCs w:val="28"/>
          <w:rtl/>
        </w:rPr>
        <w:t xml:space="preserve"> </w:t>
      </w:r>
      <w:r w:rsidRPr="0022333F">
        <w:rPr>
          <w:rFonts w:cs="Arial"/>
          <w:sz w:val="28"/>
          <w:szCs w:val="28"/>
          <w:rtl/>
        </w:rPr>
        <w:t>يتمحور الجدل حول وضع المعايير المحاسبية حول التوازن بين الخبرة والاستقلالية في القطاع الخاص والشرعية في العام. يرى أنصار القطاع الخاص، مثل</w:t>
      </w:r>
      <w:r w:rsidRPr="0022333F">
        <w:rPr>
          <w:rFonts w:cs="Arial"/>
          <w:sz w:val="28"/>
          <w:szCs w:val="28"/>
        </w:rPr>
        <w:t xml:space="preserve"> FASB </w:t>
      </w:r>
      <w:r w:rsidRPr="0022333F">
        <w:rPr>
          <w:rFonts w:cs="Arial"/>
          <w:sz w:val="28"/>
          <w:szCs w:val="28"/>
          <w:rtl/>
        </w:rPr>
        <w:t>و</w:t>
      </w:r>
      <w:r w:rsidRPr="0022333F">
        <w:rPr>
          <w:rFonts w:cs="Arial"/>
          <w:sz w:val="28"/>
          <w:szCs w:val="28"/>
        </w:rPr>
        <w:t>AICPA</w:t>
      </w:r>
      <w:r w:rsidRPr="0022333F">
        <w:rPr>
          <w:rFonts w:cs="Arial"/>
          <w:sz w:val="28"/>
          <w:szCs w:val="28"/>
          <w:rtl/>
        </w:rPr>
        <w:t>، أنه يوفر خبرة عملية وابتكارًا، مما يقلل من التدخل البيروقراطي. على سبيل المثال، يدعو تقرير من</w:t>
      </w:r>
      <w:r w:rsidRPr="0022333F">
        <w:rPr>
          <w:rFonts w:cs="Arial"/>
          <w:sz w:val="28"/>
          <w:szCs w:val="28"/>
        </w:rPr>
        <w:t xml:space="preserve"> Fisher Digital Publications </w:t>
      </w:r>
      <w:r w:rsidRPr="0022333F">
        <w:rPr>
          <w:rFonts w:cs="Arial"/>
          <w:sz w:val="28"/>
          <w:szCs w:val="28"/>
          <w:rtl/>
        </w:rPr>
        <w:t>إلى بقاء التنظيم في القطاع الخاص لأنه يتأثر أكثر به، مع التركيز على الفعالية</w:t>
      </w:r>
      <w:r w:rsidRPr="0022333F">
        <w:rPr>
          <w:rFonts w:cs="Arial"/>
          <w:sz w:val="28"/>
          <w:szCs w:val="28"/>
        </w:rPr>
        <w:t xml:space="preserve"> </w:t>
      </w:r>
      <w:r>
        <w:rPr>
          <w:rFonts w:cs="Arial" w:hint="cs"/>
          <w:sz w:val="28"/>
          <w:szCs w:val="28"/>
          <w:rtl/>
        </w:rPr>
        <w:t xml:space="preserve">. </w:t>
      </w:r>
    </w:p>
    <w:p w:rsidR="0006671E" w:rsidRPr="0022333F" w:rsidRDefault="0006671E" w:rsidP="0006671E">
      <w:pPr>
        <w:bidi/>
        <w:spacing w:line="360" w:lineRule="auto"/>
        <w:jc w:val="lowKashida"/>
        <w:rPr>
          <w:rFonts w:cs="Arial"/>
          <w:sz w:val="28"/>
          <w:szCs w:val="28"/>
        </w:rPr>
      </w:pPr>
      <w:r w:rsidRPr="0022333F">
        <w:rPr>
          <w:rFonts w:cs="Arial"/>
          <w:sz w:val="28"/>
          <w:szCs w:val="28"/>
        </w:rPr>
        <w:t xml:space="preserve"> </w:t>
      </w:r>
      <w:r w:rsidRPr="0022333F">
        <w:rPr>
          <w:rFonts w:cs="Arial"/>
          <w:sz w:val="28"/>
          <w:szCs w:val="28"/>
          <w:rtl/>
        </w:rPr>
        <w:t>في المقابل، يؤكد القطاع العام، ممثلًا بـ</w:t>
      </w:r>
      <w:r w:rsidRPr="0022333F">
        <w:rPr>
          <w:rFonts w:cs="Arial"/>
          <w:sz w:val="28"/>
          <w:szCs w:val="28"/>
        </w:rPr>
        <w:t>SEC</w:t>
      </w:r>
      <w:r w:rsidRPr="0022333F">
        <w:rPr>
          <w:rFonts w:cs="Arial"/>
          <w:sz w:val="28"/>
          <w:szCs w:val="28"/>
          <w:rtl/>
        </w:rPr>
        <w:t>، على الشرعية لضمان الحماية العامة، خاصة في أعقاب الأزمات.</w:t>
      </w:r>
      <w:r>
        <w:rPr>
          <w:rFonts w:cs="Arial" w:hint="cs"/>
          <w:sz w:val="28"/>
          <w:szCs w:val="28"/>
          <w:rtl/>
        </w:rPr>
        <w:t xml:space="preserve"> </w:t>
      </w:r>
      <w:r w:rsidRPr="0022333F">
        <w:rPr>
          <w:rFonts w:cs="Arial"/>
          <w:sz w:val="28"/>
          <w:szCs w:val="28"/>
          <w:rtl/>
        </w:rPr>
        <w:t>يفضل بعض الباحثين نموذجًا مختلطًا، حيث يمنع التنظيم غير المنظم الاحتكار، لكنه ينتقد الإفراط الذي يؤدي إلى تشتيت. على سبيل المثال، في 2025، أثارت</w:t>
      </w:r>
      <w:r w:rsidRPr="0022333F">
        <w:rPr>
          <w:rFonts w:cs="Arial"/>
          <w:sz w:val="28"/>
          <w:szCs w:val="28"/>
        </w:rPr>
        <w:t xml:space="preserve"> ASU 2023-09 </w:t>
      </w:r>
      <w:r w:rsidRPr="0022333F">
        <w:rPr>
          <w:rFonts w:cs="Arial"/>
          <w:sz w:val="28"/>
          <w:szCs w:val="28"/>
          <w:rtl/>
        </w:rPr>
        <w:t>جدلًا حول الإفصاحات الضريبية، مع طلب من غرفة التجارة الأمريكية سحبها بسبب التكاليف العالية، مما يعكس التوتر بين الشفافية والعبء التنظيمي</w:t>
      </w:r>
      <w:r>
        <w:rPr>
          <w:rFonts w:cs="Arial" w:hint="cs"/>
          <w:sz w:val="28"/>
          <w:szCs w:val="28"/>
          <w:rtl/>
        </w:rPr>
        <w:t xml:space="preserve">.  </w:t>
      </w:r>
      <w:r w:rsidRPr="0022333F">
        <w:rPr>
          <w:rFonts w:cs="Arial"/>
          <w:sz w:val="28"/>
          <w:szCs w:val="28"/>
        </w:rPr>
        <w:t xml:space="preserve"> </w:t>
      </w:r>
      <w:r>
        <w:rPr>
          <w:rFonts w:cs="Arial" w:hint="cs"/>
          <w:sz w:val="28"/>
          <w:szCs w:val="28"/>
          <w:rtl/>
        </w:rPr>
        <w:t xml:space="preserve"> </w:t>
      </w:r>
    </w:p>
    <w:p w:rsidR="0006671E" w:rsidRPr="008E34EE" w:rsidRDefault="0006671E" w:rsidP="0006671E">
      <w:pPr>
        <w:pStyle w:val="ListParagraph"/>
        <w:numPr>
          <w:ilvl w:val="0"/>
          <w:numId w:val="2"/>
        </w:numPr>
        <w:bidi/>
        <w:spacing w:line="360" w:lineRule="auto"/>
        <w:jc w:val="both"/>
        <w:rPr>
          <w:b/>
          <w:bCs/>
          <w:sz w:val="28"/>
          <w:szCs w:val="28"/>
          <w:rtl/>
        </w:rPr>
      </w:pPr>
      <w:r w:rsidRPr="008E34EE">
        <w:rPr>
          <w:rFonts w:hint="cs"/>
          <w:b/>
          <w:bCs/>
          <w:sz w:val="28"/>
          <w:szCs w:val="28"/>
          <w:rtl/>
        </w:rPr>
        <w:lastRenderedPageBreak/>
        <w:t>النظريات الداعمة للتنظيم في المحاسبة</w:t>
      </w:r>
    </w:p>
    <w:p w:rsidR="0006671E" w:rsidRPr="0022333F" w:rsidRDefault="0006671E" w:rsidP="0006671E">
      <w:pPr>
        <w:bidi/>
        <w:spacing w:line="360" w:lineRule="auto"/>
        <w:jc w:val="lowKashida"/>
        <w:rPr>
          <w:rFonts w:cs="Arial"/>
          <w:sz w:val="28"/>
          <w:szCs w:val="28"/>
          <w:rtl/>
        </w:rPr>
      </w:pPr>
      <w:r w:rsidRPr="0022333F">
        <w:rPr>
          <w:rFonts w:cs="Arial"/>
          <w:sz w:val="28"/>
          <w:szCs w:val="28"/>
          <w:rtl/>
        </w:rPr>
        <w:t xml:space="preserve">يُعد تنظيم المحاسبة أحد الأعمدة الأساسية في النظم المالية الحديثة، حيث يسعى إلى ضمان توفير معلومات مالية موثوقة وشفافة تساهم في اتخاذ قرارات اقتصادية </w:t>
      </w:r>
      <w:r>
        <w:rPr>
          <w:rFonts w:cs="Arial" w:hint="cs"/>
          <w:sz w:val="28"/>
          <w:szCs w:val="28"/>
          <w:rtl/>
        </w:rPr>
        <w:t>فاعلة</w:t>
      </w:r>
      <w:r w:rsidRPr="0022333F">
        <w:rPr>
          <w:rFonts w:cs="Arial"/>
          <w:sz w:val="28"/>
          <w:szCs w:val="28"/>
          <w:rtl/>
        </w:rPr>
        <w:t>. في هذا السياق، تبرز نظريتا المصلحة العامة (</w:t>
      </w:r>
      <w:r w:rsidRPr="0022333F">
        <w:rPr>
          <w:rFonts w:cs="Arial"/>
          <w:sz w:val="28"/>
          <w:szCs w:val="28"/>
        </w:rPr>
        <w:t>Public Interest Theory</w:t>
      </w:r>
      <w:r w:rsidRPr="0022333F">
        <w:rPr>
          <w:rFonts w:cs="Arial"/>
          <w:sz w:val="28"/>
          <w:szCs w:val="28"/>
          <w:rtl/>
        </w:rPr>
        <w:t>) والمصلحة الخاصة (</w:t>
      </w:r>
      <w:r w:rsidRPr="0022333F">
        <w:rPr>
          <w:rFonts w:cs="Arial"/>
          <w:sz w:val="28"/>
          <w:szCs w:val="28"/>
        </w:rPr>
        <w:t>Private Interest Theory</w:t>
      </w:r>
      <w:r w:rsidRPr="0022333F">
        <w:rPr>
          <w:rFonts w:cs="Arial"/>
          <w:sz w:val="28"/>
          <w:szCs w:val="28"/>
          <w:rtl/>
        </w:rPr>
        <w:t xml:space="preserve">، والتي غالباً ما ترتبط بنظرية الاستحواذ أو </w:t>
      </w:r>
      <w:r w:rsidRPr="0022333F">
        <w:rPr>
          <w:rFonts w:cs="Arial"/>
          <w:sz w:val="28"/>
          <w:szCs w:val="28"/>
        </w:rPr>
        <w:t>Capture Theory</w:t>
      </w:r>
      <w:r w:rsidRPr="0022333F">
        <w:rPr>
          <w:rFonts w:cs="Arial"/>
          <w:sz w:val="28"/>
          <w:szCs w:val="28"/>
          <w:rtl/>
        </w:rPr>
        <w:t>) كأطر تفسيرية رئيسية لفهم ديناميكيات هذا التنظيم. تعتبر هاتان النظريتان ركيزتين في الأدبيات المحاسبية، إذ توفران تفسيراً لكيفية تشكل المعايير المحاسبية والإجراءات التنظيمية، مع التركيز على التوازن بين الجوانب "المعيارية" (</w:t>
      </w:r>
      <w:r w:rsidRPr="0022333F">
        <w:rPr>
          <w:rFonts w:cs="Arial"/>
          <w:sz w:val="28"/>
          <w:szCs w:val="28"/>
        </w:rPr>
        <w:t>Normative</w:t>
      </w:r>
      <w:r w:rsidRPr="0022333F">
        <w:rPr>
          <w:rFonts w:cs="Arial"/>
          <w:sz w:val="28"/>
          <w:szCs w:val="28"/>
          <w:rtl/>
        </w:rPr>
        <w:t>)، التي تركز على ما يجب أن يكون، والجوانب "</w:t>
      </w:r>
      <w:r>
        <w:rPr>
          <w:rFonts w:cs="Arial" w:hint="cs"/>
          <w:sz w:val="28"/>
          <w:szCs w:val="28"/>
          <w:rtl/>
        </w:rPr>
        <w:t>الوضعية</w:t>
      </w:r>
      <w:r w:rsidRPr="0022333F">
        <w:rPr>
          <w:rFonts w:cs="Arial"/>
          <w:sz w:val="28"/>
          <w:szCs w:val="28"/>
          <w:rtl/>
        </w:rPr>
        <w:t>" (</w:t>
      </w:r>
      <w:r w:rsidRPr="0022333F">
        <w:rPr>
          <w:rFonts w:cs="Arial"/>
          <w:sz w:val="28"/>
          <w:szCs w:val="28"/>
        </w:rPr>
        <w:t>Positive</w:t>
      </w:r>
      <w:r w:rsidRPr="0022333F">
        <w:rPr>
          <w:rFonts w:cs="Arial"/>
          <w:sz w:val="28"/>
          <w:szCs w:val="28"/>
          <w:rtl/>
        </w:rPr>
        <w:t>)، التي تدرس ما هو قائم فعلياً في الممارسة. تستند نظرية المصلحة العامة إلى افتراض أن التنظيم يهدف إلى تحقيق أقصى فائدة للمجتمع ككل، من خلال تصحيح فشل السوق وضمان عدالة المعلومات. في المقابل، ترى نظرية المصلحة الخاصة أن التنظيم غالباً ما يُستغل من قبل مجموعات ضغط قوية لخدمة مصالحها الخاصة، مما يؤدي إلى "استحواذ" على الجهات التنظيمية. هذا التمييز ليس مجرد نظري، بل يعكس تطورات عملية في السياسات المالية، خاصة في أعقاب الأزمات الاقتصادية العالمية مثل أزمة 2008 المالية وجائحة كوفيد-19، حيث شهد العالم تحولات في كيفية توظيف هذه النظريات لصياغة معايير مثل تلك الصادرة عن مجلس المعايير المحاسبية الدولية (</w:t>
      </w:r>
      <w:r w:rsidRPr="0022333F">
        <w:rPr>
          <w:rFonts w:cs="Arial"/>
          <w:sz w:val="28"/>
          <w:szCs w:val="28"/>
        </w:rPr>
        <w:t>IASB</w:t>
      </w:r>
      <w:r w:rsidRPr="0022333F">
        <w:rPr>
          <w:rFonts w:cs="Arial"/>
          <w:sz w:val="28"/>
          <w:szCs w:val="28"/>
          <w:rtl/>
        </w:rPr>
        <w:t>) أو مجلس المعايير المحاسبية المالية (</w:t>
      </w:r>
      <w:r w:rsidRPr="0022333F">
        <w:rPr>
          <w:rFonts w:cs="Arial"/>
          <w:sz w:val="28"/>
          <w:szCs w:val="28"/>
        </w:rPr>
        <w:t>FASB</w:t>
      </w:r>
      <w:r w:rsidRPr="0022333F">
        <w:rPr>
          <w:rFonts w:cs="Arial"/>
          <w:sz w:val="28"/>
          <w:szCs w:val="28"/>
          <w:rtl/>
        </w:rPr>
        <w:t xml:space="preserve">). </w:t>
      </w:r>
    </w:p>
    <w:p w:rsidR="0006671E" w:rsidRPr="0022333F" w:rsidRDefault="0006671E" w:rsidP="0006671E">
      <w:pPr>
        <w:bidi/>
        <w:spacing w:line="360" w:lineRule="auto"/>
        <w:jc w:val="lowKashida"/>
        <w:rPr>
          <w:rFonts w:cs="Arial"/>
          <w:b/>
          <w:bCs/>
          <w:sz w:val="28"/>
          <w:szCs w:val="28"/>
          <w:rtl/>
        </w:rPr>
      </w:pPr>
      <w:r w:rsidRPr="0022333F">
        <w:rPr>
          <w:rFonts w:cs="Arial"/>
          <w:b/>
          <w:bCs/>
          <w:sz w:val="28"/>
          <w:szCs w:val="28"/>
          <w:rtl/>
        </w:rPr>
        <w:t>أولاً: نظرية المصلحة العامة</w:t>
      </w:r>
      <w:r w:rsidRPr="0022333F">
        <w:rPr>
          <w:rFonts w:cs="Arial"/>
          <w:b/>
          <w:bCs/>
          <w:sz w:val="28"/>
          <w:szCs w:val="28"/>
        </w:rPr>
        <w:t xml:space="preserve"> (Public Interest Theory)</w:t>
      </w:r>
    </w:p>
    <w:p w:rsidR="0006671E" w:rsidRPr="0022333F" w:rsidRDefault="0006671E" w:rsidP="0006671E">
      <w:pPr>
        <w:bidi/>
        <w:spacing w:line="360" w:lineRule="auto"/>
        <w:jc w:val="lowKashida"/>
        <w:rPr>
          <w:rFonts w:cs="Arial"/>
          <w:sz w:val="28"/>
          <w:szCs w:val="28"/>
          <w:rtl/>
        </w:rPr>
      </w:pPr>
      <w:r w:rsidRPr="0022333F">
        <w:rPr>
          <w:rFonts w:cs="Arial"/>
          <w:sz w:val="28"/>
          <w:szCs w:val="28"/>
          <w:rtl/>
        </w:rPr>
        <w:t>تُعرف نظرية المصلحة العامة على أنها إطار يبرر التدخل الحكومي أو التنظيمي في السوق لتحقيق الكفاءة الاقتصادية وحماية المجتمع من فشل السوق. في سياق المحاسبة، تهدف هذه النظرية إلى ضمان أن تكون التقارير المالية أداة لتوفير معلومات عادلة وشفافة، مما يقلل من عدم التماثل المعلوماتي</w:t>
      </w:r>
      <w:r w:rsidRPr="0022333F">
        <w:rPr>
          <w:rFonts w:cs="Arial"/>
          <w:sz w:val="28"/>
          <w:szCs w:val="28"/>
        </w:rPr>
        <w:t xml:space="preserve"> (Information Asymmetry) </w:t>
      </w:r>
      <w:r w:rsidRPr="0022333F">
        <w:rPr>
          <w:rFonts w:cs="Arial"/>
          <w:sz w:val="28"/>
          <w:szCs w:val="28"/>
          <w:rtl/>
        </w:rPr>
        <w:t>بين الإدارة والمستثمرين أو الجهات الخارجية. يُنظر إلى المهنة المحاسبية في هذا الإطار كـ"خدمة عامة"، حيث يُفرض التنظيم لمنع الاحتيال وضمان عدالة السوق. من الناحية النظرية، تعود جذور هذه النظرية إلى أعمال آرثر سيسل بيغو</w:t>
      </w:r>
      <w:r w:rsidRPr="0022333F">
        <w:rPr>
          <w:rFonts w:cs="Arial"/>
          <w:sz w:val="28"/>
          <w:szCs w:val="28"/>
        </w:rPr>
        <w:t xml:space="preserve"> (</w:t>
      </w:r>
      <w:proofErr w:type="spellStart"/>
      <w:r w:rsidRPr="0022333F">
        <w:rPr>
          <w:rFonts w:cs="Arial"/>
          <w:sz w:val="28"/>
          <w:szCs w:val="28"/>
        </w:rPr>
        <w:t>Pigou</w:t>
      </w:r>
      <w:proofErr w:type="spellEnd"/>
      <w:r w:rsidRPr="0022333F">
        <w:rPr>
          <w:rFonts w:cs="Arial"/>
          <w:sz w:val="28"/>
          <w:szCs w:val="28"/>
        </w:rPr>
        <w:t xml:space="preserve">) </w:t>
      </w:r>
      <w:r w:rsidRPr="0022333F">
        <w:rPr>
          <w:rFonts w:cs="Arial"/>
          <w:sz w:val="28"/>
          <w:szCs w:val="28"/>
          <w:rtl/>
        </w:rPr>
        <w:t>في عشرينيات القرن الماضي، الذي رأى أن التنظيم ضروري لتصحيح الآثار الخارجية السلبية في السوق. في المحاسبة، يتجلى ذلك في قوانين مثل قانون الأوراق المالية الأمريكي لعام 1933، الذي أنشأ لجنة الأوراق المالية والبورصات</w:t>
      </w:r>
      <w:r w:rsidRPr="0022333F">
        <w:rPr>
          <w:rFonts w:cs="Arial"/>
          <w:sz w:val="28"/>
          <w:szCs w:val="28"/>
        </w:rPr>
        <w:t xml:space="preserve"> (SEC) </w:t>
      </w:r>
      <w:r w:rsidRPr="0022333F">
        <w:rPr>
          <w:rFonts w:cs="Arial"/>
          <w:sz w:val="28"/>
          <w:szCs w:val="28"/>
          <w:rtl/>
        </w:rPr>
        <w:lastRenderedPageBreak/>
        <w:t>لفرض معايير موحدة بعد انهيار السوق في 1929. هذا التدخل يُبرر بأنه يحمي المستثمرين من خلال توفير بيانات مالية دقيقة، مما يعزز الثقة في الأسواق المالية ويحقق الكفاءة الاقتصادية. في التطورات الحديثة، شهدت النظرية تحولات ملحوظة، خاصة في الاتحاد الأوروبي. وفقاً لدراسة حديثة نشرت في مجلة تايلور أند فرانسيس عام 2025، فإن مفهومي "المصلحة العامة" و"الخير العام" قد تطورا في سياق تنظيم التقارير المؤسسية من عام 2000 إلى 2024. أظهرت الدراسة، التي حللت جميع الوثائق ذات الصلة الصادرة عن المفوضية الأوروبية، تحولاً في ثلاث مراحل: أولاً، ربط المفهوم بكفاءة أسواق رأس المال؛ ثانياً، ارتباطه بالاستقرار المالي؛ وأخيراً، في السنوات الأخيرة، ربطه بسياق متعدد الأطراف يركز على الاستدامة. هذا التحول يعكس تغييراً في المنظور النظري للمصلحة العامة، حيث يتجه نحو دمج مصالح متعددة الأطراف، بما في ذلك الاستدامة البيئية والاجتماعية</w:t>
      </w:r>
      <w:r w:rsidRPr="0022333F">
        <w:rPr>
          <w:rFonts w:cs="Arial"/>
          <w:sz w:val="28"/>
          <w:szCs w:val="28"/>
        </w:rPr>
        <w:t xml:space="preserve">. </w:t>
      </w:r>
    </w:p>
    <w:p w:rsidR="0006671E" w:rsidRPr="0022333F" w:rsidRDefault="0006671E" w:rsidP="0006671E">
      <w:pPr>
        <w:bidi/>
        <w:spacing w:line="360" w:lineRule="auto"/>
        <w:jc w:val="lowKashida"/>
        <w:rPr>
          <w:rFonts w:cs="Arial"/>
          <w:sz w:val="28"/>
          <w:szCs w:val="28"/>
          <w:rtl/>
        </w:rPr>
      </w:pPr>
      <w:r w:rsidRPr="0022333F">
        <w:rPr>
          <w:rFonts w:cs="Arial"/>
          <w:sz w:val="28"/>
          <w:szCs w:val="28"/>
        </w:rPr>
        <w:t xml:space="preserve"> </w:t>
      </w:r>
      <w:r w:rsidRPr="0022333F">
        <w:rPr>
          <w:rFonts w:cs="Arial"/>
          <w:sz w:val="28"/>
          <w:szCs w:val="28"/>
          <w:rtl/>
        </w:rPr>
        <w:t>كما أشارت دراسة أخرى نشرت في 2023 من قبل إدوارد إلغار، إلى أن التغييرات الأخيرة في أهداف التقارير المؤسسية، مع زيادة أهمية الأطراف المعنية</w:t>
      </w:r>
      <w:r w:rsidRPr="0022333F">
        <w:rPr>
          <w:rFonts w:cs="Arial"/>
          <w:sz w:val="28"/>
          <w:szCs w:val="28"/>
        </w:rPr>
        <w:t xml:space="preserve"> (Stakeholders)</w:t>
      </w:r>
      <w:r w:rsidRPr="0022333F">
        <w:rPr>
          <w:rFonts w:cs="Arial"/>
          <w:sz w:val="28"/>
          <w:szCs w:val="28"/>
          <w:rtl/>
        </w:rPr>
        <w:t>، تشير إلى توسع في مفهوم "المصلحة العامة". هذا التوسع يطرح تحديات للبحث المحاسبي في تحليل الآثار المقصودة وغير المقصودة لهذه التغييرات، مثل الآثار الحقيقية</w:t>
      </w:r>
      <w:r w:rsidRPr="0022333F">
        <w:rPr>
          <w:rFonts w:cs="Arial"/>
          <w:sz w:val="28"/>
          <w:szCs w:val="28"/>
        </w:rPr>
        <w:t xml:space="preserve"> (Real Effects) </w:t>
      </w:r>
      <w:r w:rsidRPr="0022333F">
        <w:rPr>
          <w:rFonts w:cs="Arial"/>
          <w:sz w:val="28"/>
          <w:szCs w:val="28"/>
          <w:rtl/>
        </w:rPr>
        <w:t>للمعايير المحاسبية، والتي غالباً ما تُدرس من منظور نظرية الوكالة</w:t>
      </w:r>
      <w:r w:rsidRPr="0022333F">
        <w:rPr>
          <w:rFonts w:cs="Arial"/>
          <w:sz w:val="28"/>
          <w:szCs w:val="28"/>
        </w:rPr>
        <w:t xml:space="preserve"> (Agency Theory). </w:t>
      </w:r>
      <w:r w:rsidRPr="0022333F">
        <w:rPr>
          <w:rFonts w:cs="Arial"/>
          <w:sz w:val="28"/>
          <w:szCs w:val="28"/>
          <w:rtl/>
        </w:rPr>
        <w:t>ومع ذلك، أظهر الباحثون نقصاً في الاهتمام بتفاعل المصلحة العامة مع المحاسبة، مما يدعو إلى نظرة متعددة التخصصات تشمل الاقتصاد والقانون</w:t>
      </w:r>
      <w:r w:rsidRPr="0022333F">
        <w:rPr>
          <w:rFonts w:cs="Arial"/>
          <w:sz w:val="28"/>
          <w:szCs w:val="28"/>
        </w:rPr>
        <w:t xml:space="preserve">. </w:t>
      </w:r>
    </w:p>
    <w:p w:rsidR="0006671E" w:rsidRPr="0022333F" w:rsidRDefault="0006671E" w:rsidP="0006671E">
      <w:pPr>
        <w:bidi/>
        <w:spacing w:line="360" w:lineRule="auto"/>
        <w:jc w:val="lowKashida"/>
        <w:rPr>
          <w:rFonts w:cs="Arial"/>
          <w:sz w:val="28"/>
          <w:szCs w:val="28"/>
          <w:rtl/>
        </w:rPr>
      </w:pPr>
      <w:r w:rsidRPr="0022333F">
        <w:rPr>
          <w:rFonts w:cs="Arial"/>
          <w:sz w:val="28"/>
          <w:szCs w:val="28"/>
          <w:rtl/>
        </w:rPr>
        <w:t>في سياق الأزمات، أكدت دراسة من</w:t>
      </w:r>
      <w:r w:rsidRPr="0022333F">
        <w:rPr>
          <w:rFonts w:cs="Arial"/>
          <w:sz w:val="28"/>
          <w:szCs w:val="28"/>
        </w:rPr>
        <w:t xml:space="preserve"> CEPR </w:t>
      </w:r>
      <w:r w:rsidRPr="0022333F">
        <w:rPr>
          <w:rFonts w:cs="Arial"/>
          <w:sz w:val="28"/>
          <w:szCs w:val="28"/>
          <w:rtl/>
        </w:rPr>
        <w:t>عام 2020 أن السياسات المالية بعد الأزمات غالباً ما تتبع قناة المصلحة العامة في الديمقراطيات، حيث يؤدي التدخل إلى إعادة تنظيم فوري لتعزيز الاستقرار المالي، مثل تحسين الإشراف المصرفي أو تقييد التحركات الرأسمالية. اعتمدت الدراسة على لوحة بيانات لـ94 دولة من 1973 إلى 2015، وأظهرت أن هذا النهج يعكس مساءلة سياسية أعلى تجاه الطبقة الوسطى</w:t>
      </w:r>
      <w:r w:rsidRPr="0022333F">
        <w:rPr>
          <w:rFonts w:cs="Arial"/>
          <w:sz w:val="28"/>
          <w:szCs w:val="28"/>
        </w:rPr>
        <w:t xml:space="preserve">. </w:t>
      </w:r>
    </w:p>
    <w:p w:rsidR="0006671E" w:rsidRPr="0022333F" w:rsidRDefault="0006671E" w:rsidP="0006671E">
      <w:pPr>
        <w:bidi/>
        <w:spacing w:line="360" w:lineRule="auto"/>
        <w:jc w:val="lowKashida"/>
        <w:rPr>
          <w:rFonts w:cs="Arial"/>
          <w:sz w:val="28"/>
          <w:szCs w:val="28"/>
          <w:rtl/>
        </w:rPr>
      </w:pPr>
      <w:r w:rsidRPr="0022333F">
        <w:rPr>
          <w:rFonts w:cs="Arial"/>
          <w:sz w:val="28"/>
          <w:szCs w:val="28"/>
        </w:rPr>
        <w:t xml:space="preserve"> </w:t>
      </w:r>
      <w:r w:rsidRPr="0022333F">
        <w:rPr>
          <w:rFonts w:cs="Arial"/>
          <w:sz w:val="28"/>
          <w:szCs w:val="28"/>
          <w:rtl/>
        </w:rPr>
        <w:t>هذه التطورات تبرز كيف أصبحت النظرية أكثر شمولاً، خاصة مع دمج أهداف التنمية المستدامة</w:t>
      </w:r>
      <w:r w:rsidRPr="0022333F">
        <w:rPr>
          <w:rFonts w:cs="Arial"/>
          <w:sz w:val="28"/>
          <w:szCs w:val="28"/>
        </w:rPr>
        <w:t xml:space="preserve"> (SDGs) </w:t>
      </w:r>
      <w:r w:rsidRPr="0022333F">
        <w:rPr>
          <w:rFonts w:cs="Arial"/>
          <w:sz w:val="28"/>
          <w:szCs w:val="28"/>
          <w:rtl/>
        </w:rPr>
        <w:t>في التقارير، كما في توجيهات الاتحاد الأوروبي للتقارير غير المالية</w:t>
      </w:r>
      <w:r w:rsidRPr="0022333F">
        <w:rPr>
          <w:rFonts w:cs="Arial"/>
          <w:sz w:val="28"/>
          <w:szCs w:val="28"/>
        </w:rPr>
        <w:t xml:space="preserve"> (NFRD) </w:t>
      </w:r>
      <w:r w:rsidRPr="0022333F">
        <w:rPr>
          <w:rFonts w:cs="Arial"/>
          <w:sz w:val="28"/>
          <w:szCs w:val="28"/>
          <w:rtl/>
        </w:rPr>
        <w:t>عام 2014، والتي تطورت إلى معيار التقارير المستدامة</w:t>
      </w:r>
      <w:r w:rsidRPr="0022333F">
        <w:rPr>
          <w:rFonts w:cs="Arial"/>
          <w:sz w:val="28"/>
          <w:szCs w:val="28"/>
        </w:rPr>
        <w:t xml:space="preserve"> (CSRD) </w:t>
      </w:r>
      <w:r w:rsidRPr="0022333F">
        <w:rPr>
          <w:rFonts w:cs="Arial"/>
          <w:sz w:val="28"/>
          <w:szCs w:val="28"/>
          <w:rtl/>
        </w:rPr>
        <w:t xml:space="preserve">عام 2022.من الأمثلة العملية، في جنوب أفريقيا، أدت التغييرات في وضع المعايير إلى تعزيز دور التنظيم في </w:t>
      </w:r>
      <w:r w:rsidRPr="0022333F">
        <w:rPr>
          <w:rFonts w:cs="Arial"/>
          <w:sz w:val="28"/>
          <w:szCs w:val="28"/>
          <w:rtl/>
        </w:rPr>
        <w:lastRenderedPageBreak/>
        <w:t>خدمة المصلحة العامة، كما في دراسة نشرت في مجلة</w:t>
      </w:r>
      <w:r w:rsidRPr="0022333F">
        <w:rPr>
          <w:rFonts w:cs="Arial"/>
          <w:sz w:val="28"/>
          <w:szCs w:val="28"/>
        </w:rPr>
        <w:t xml:space="preserve"> Sage </w:t>
      </w:r>
      <w:r w:rsidRPr="0022333F">
        <w:rPr>
          <w:rFonts w:cs="Arial"/>
          <w:sz w:val="28"/>
          <w:szCs w:val="28"/>
          <w:rtl/>
        </w:rPr>
        <w:t>عام 2025، التي استخدمت منظور النظرية التنظيمية لاستكشاف هذه التغييرات</w:t>
      </w:r>
      <w:r w:rsidRPr="0022333F">
        <w:rPr>
          <w:rFonts w:cs="Arial"/>
          <w:sz w:val="28"/>
          <w:szCs w:val="28"/>
        </w:rPr>
        <w:t xml:space="preserve">. </w:t>
      </w:r>
    </w:p>
    <w:p w:rsidR="0006671E" w:rsidRPr="0022333F" w:rsidRDefault="0006671E" w:rsidP="0006671E">
      <w:pPr>
        <w:bidi/>
        <w:spacing w:line="360" w:lineRule="auto"/>
        <w:jc w:val="lowKashida"/>
        <w:rPr>
          <w:rFonts w:cs="Arial"/>
          <w:sz w:val="28"/>
          <w:szCs w:val="28"/>
          <w:rtl/>
        </w:rPr>
      </w:pPr>
      <w:r w:rsidRPr="0022333F">
        <w:rPr>
          <w:rFonts w:cs="Arial"/>
          <w:sz w:val="28"/>
          <w:szCs w:val="28"/>
        </w:rPr>
        <w:t xml:space="preserve"> </w:t>
      </w:r>
      <w:r w:rsidRPr="0022333F">
        <w:rPr>
          <w:rFonts w:cs="Arial"/>
          <w:sz w:val="28"/>
          <w:szCs w:val="28"/>
          <w:rtl/>
        </w:rPr>
        <w:t>كذلك، في الولايات المتحدة، أدى تدخل الـ</w:t>
      </w:r>
      <w:r w:rsidRPr="0022333F">
        <w:rPr>
          <w:rFonts w:cs="Arial"/>
          <w:sz w:val="28"/>
          <w:szCs w:val="28"/>
        </w:rPr>
        <w:t xml:space="preserve">SEC </w:t>
      </w:r>
      <w:r w:rsidRPr="0022333F">
        <w:rPr>
          <w:rFonts w:cs="Arial"/>
          <w:sz w:val="28"/>
          <w:szCs w:val="28"/>
          <w:rtl/>
        </w:rPr>
        <w:t>في أعقاب أزمة إنرون إلى قانون ساربانز-أوكسلي عام 2002، الذي فرض إفصاحات أكثر صرامة لحماية المستثمرين، مما يعكس تطبيقاً للنظرية.</w:t>
      </w:r>
      <w:r>
        <w:rPr>
          <w:rFonts w:cs="Arial" w:hint="cs"/>
          <w:sz w:val="28"/>
          <w:szCs w:val="28"/>
          <w:rtl/>
        </w:rPr>
        <w:t xml:space="preserve"> </w:t>
      </w:r>
      <w:r w:rsidRPr="0022333F">
        <w:rPr>
          <w:rFonts w:cs="Arial"/>
          <w:sz w:val="28"/>
          <w:szCs w:val="28"/>
          <w:rtl/>
        </w:rPr>
        <w:t>ومع ذلك، تواجه النظرية انتقادات، مثل تجاهلها للتأثيرات السياسية والاقتصادية، كما أشارت دراسات حديثة إلى أنها قد تقلل من تقدير قوة المجموعات الخاصة. في الختام لهذا القسم، تظل نظرية المصلحة العامة أداة حاسمة لفهم كيف يساهم التنظيم في بناء أسواق مالية عادلة، مع تطورات حديثة تركز على الاستدامة والشفافية المتعددة الأطراف</w:t>
      </w:r>
      <w:r w:rsidRPr="0022333F">
        <w:rPr>
          <w:rFonts w:cs="Arial"/>
          <w:sz w:val="28"/>
          <w:szCs w:val="28"/>
        </w:rPr>
        <w:t>.</w:t>
      </w:r>
    </w:p>
    <w:p w:rsidR="0006671E" w:rsidRPr="0022333F" w:rsidRDefault="0006671E" w:rsidP="0006671E">
      <w:pPr>
        <w:bidi/>
        <w:spacing w:line="360" w:lineRule="auto"/>
        <w:jc w:val="lowKashida"/>
        <w:rPr>
          <w:rFonts w:cs="Arial"/>
          <w:sz w:val="28"/>
          <w:szCs w:val="28"/>
          <w:rtl/>
        </w:rPr>
      </w:pPr>
      <w:r>
        <w:rPr>
          <w:rFonts w:cs="Arial" w:hint="cs"/>
          <w:sz w:val="28"/>
          <w:szCs w:val="28"/>
          <w:rtl/>
        </w:rPr>
        <w:t>خلاصة لما تقدم يمكن القول, ان هذه</w:t>
      </w:r>
      <w:r w:rsidRPr="0022333F">
        <w:rPr>
          <w:rFonts w:cs="Arial"/>
          <w:sz w:val="28"/>
          <w:szCs w:val="28"/>
          <w:rtl/>
        </w:rPr>
        <w:t xml:space="preserve"> النظرية </w:t>
      </w:r>
      <w:r>
        <w:rPr>
          <w:rFonts w:cs="Arial" w:hint="cs"/>
          <w:sz w:val="28"/>
          <w:szCs w:val="28"/>
          <w:rtl/>
        </w:rPr>
        <w:t xml:space="preserve">تستند </w:t>
      </w:r>
      <w:r w:rsidRPr="0022333F">
        <w:rPr>
          <w:rFonts w:cs="Arial"/>
          <w:sz w:val="28"/>
          <w:szCs w:val="28"/>
          <w:rtl/>
        </w:rPr>
        <w:t>إلى أن التنظيم المحاسبي يهدف إلى تحقيق أقصى مصلحة للمجتمع ككل، وذلك من خلال</w:t>
      </w:r>
      <w:r w:rsidRPr="0022333F">
        <w:rPr>
          <w:rFonts w:cs="Arial"/>
          <w:sz w:val="28"/>
          <w:szCs w:val="28"/>
        </w:rPr>
        <w:t>:</w:t>
      </w:r>
    </w:p>
    <w:p w:rsidR="0006671E" w:rsidRPr="0022333F" w:rsidRDefault="0006671E" w:rsidP="0006671E">
      <w:pPr>
        <w:pStyle w:val="ListParagraph"/>
        <w:numPr>
          <w:ilvl w:val="0"/>
          <w:numId w:val="1"/>
        </w:numPr>
        <w:bidi/>
        <w:spacing w:line="360" w:lineRule="auto"/>
        <w:jc w:val="lowKashida"/>
        <w:rPr>
          <w:rFonts w:cs="Arial"/>
          <w:sz w:val="28"/>
          <w:szCs w:val="28"/>
          <w:rtl/>
        </w:rPr>
      </w:pPr>
      <w:r w:rsidRPr="0022333F">
        <w:rPr>
          <w:rFonts w:cs="Arial"/>
          <w:sz w:val="28"/>
          <w:szCs w:val="28"/>
          <w:rtl/>
        </w:rPr>
        <w:t>حماية المستثمرين: توفير معلومات مالية دقيقة وشفافة تضمن عدالة السوق وتمنع الاحتيال</w:t>
      </w:r>
      <w:r w:rsidRPr="0022333F">
        <w:rPr>
          <w:rFonts w:cs="Arial"/>
          <w:sz w:val="28"/>
          <w:szCs w:val="28"/>
        </w:rPr>
        <w:t>.</w:t>
      </w:r>
    </w:p>
    <w:p w:rsidR="0006671E" w:rsidRPr="0022333F" w:rsidRDefault="0006671E" w:rsidP="0006671E">
      <w:pPr>
        <w:pStyle w:val="ListParagraph"/>
        <w:numPr>
          <w:ilvl w:val="0"/>
          <w:numId w:val="1"/>
        </w:numPr>
        <w:bidi/>
        <w:spacing w:line="360" w:lineRule="auto"/>
        <w:jc w:val="lowKashida"/>
        <w:rPr>
          <w:rFonts w:cs="Arial"/>
          <w:sz w:val="28"/>
          <w:szCs w:val="28"/>
          <w:rtl/>
        </w:rPr>
      </w:pPr>
      <w:r w:rsidRPr="0022333F">
        <w:rPr>
          <w:rFonts w:cs="Arial"/>
          <w:sz w:val="28"/>
          <w:szCs w:val="28"/>
          <w:rtl/>
        </w:rPr>
        <w:t>تحقيق الكفاءة الاقتصادية: تقليل عدم تماثل المعلومات</w:t>
      </w:r>
      <w:r w:rsidRPr="0022333F">
        <w:rPr>
          <w:rFonts w:cs="Arial"/>
          <w:sz w:val="28"/>
          <w:szCs w:val="28"/>
        </w:rPr>
        <w:t xml:space="preserve"> (Information Asymmetry) </w:t>
      </w:r>
      <w:r w:rsidRPr="0022333F">
        <w:rPr>
          <w:rFonts w:cs="Arial"/>
          <w:sz w:val="28"/>
          <w:szCs w:val="28"/>
          <w:rtl/>
        </w:rPr>
        <w:t>بين الإدارة والمستثمرين</w:t>
      </w:r>
      <w:r w:rsidRPr="0022333F">
        <w:rPr>
          <w:rFonts w:cs="Arial"/>
          <w:sz w:val="28"/>
          <w:szCs w:val="28"/>
        </w:rPr>
        <w:t>.</w:t>
      </w:r>
    </w:p>
    <w:p w:rsidR="0006671E" w:rsidRPr="0022333F" w:rsidRDefault="0006671E" w:rsidP="0006671E">
      <w:pPr>
        <w:pStyle w:val="ListParagraph"/>
        <w:numPr>
          <w:ilvl w:val="0"/>
          <w:numId w:val="1"/>
        </w:numPr>
        <w:bidi/>
        <w:spacing w:line="360" w:lineRule="auto"/>
        <w:jc w:val="lowKashida"/>
        <w:rPr>
          <w:rFonts w:cs="Arial"/>
          <w:sz w:val="28"/>
          <w:szCs w:val="28"/>
          <w:rtl/>
        </w:rPr>
      </w:pPr>
      <w:r w:rsidRPr="0022333F">
        <w:rPr>
          <w:rFonts w:cs="Arial"/>
          <w:sz w:val="28"/>
          <w:szCs w:val="28"/>
          <w:rtl/>
        </w:rPr>
        <w:t>التدخل الحكومي: يعتبر التدخل ضرورياً لتصحيح فشل السوق الناجم عن نقص المعلومات، حيث يُنظر إلى المهنة المحاسبية على أنها تقدم "خدمة عامة</w:t>
      </w:r>
      <w:r w:rsidRPr="0022333F">
        <w:rPr>
          <w:rFonts w:cs="Arial"/>
          <w:sz w:val="28"/>
          <w:szCs w:val="28"/>
        </w:rPr>
        <w:t xml:space="preserve">". </w:t>
      </w:r>
    </w:p>
    <w:p w:rsidR="0006671E" w:rsidRPr="0022333F" w:rsidRDefault="0006671E" w:rsidP="0006671E">
      <w:pPr>
        <w:bidi/>
        <w:spacing w:line="360" w:lineRule="auto"/>
        <w:jc w:val="lowKashida"/>
        <w:rPr>
          <w:rFonts w:cs="Arial"/>
          <w:b/>
          <w:bCs/>
          <w:sz w:val="28"/>
          <w:szCs w:val="28"/>
          <w:rtl/>
        </w:rPr>
      </w:pPr>
      <w:r w:rsidRPr="0022333F">
        <w:rPr>
          <w:rFonts w:cs="Arial"/>
          <w:b/>
          <w:bCs/>
          <w:sz w:val="28"/>
          <w:szCs w:val="28"/>
          <w:rtl/>
        </w:rPr>
        <w:t>ثانياً: نظرية المصلحة الخاصة</w:t>
      </w:r>
      <w:r w:rsidRPr="0022333F">
        <w:rPr>
          <w:rFonts w:cs="Arial"/>
          <w:b/>
          <w:bCs/>
          <w:sz w:val="28"/>
          <w:szCs w:val="28"/>
        </w:rPr>
        <w:t xml:space="preserve"> (Private Interest Theory / Capture Theory)</w:t>
      </w:r>
    </w:p>
    <w:p w:rsidR="0006671E" w:rsidRDefault="0006671E" w:rsidP="0006671E">
      <w:pPr>
        <w:bidi/>
        <w:spacing w:line="360" w:lineRule="auto"/>
        <w:jc w:val="lowKashida"/>
        <w:rPr>
          <w:rFonts w:cs="Arial"/>
          <w:sz w:val="28"/>
          <w:szCs w:val="28"/>
          <w:rtl/>
        </w:rPr>
      </w:pPr>
      <w:r w:rsidRPr="008A7E01">
        <w:rPr>
          <w:rFonts w:cs="Arial"/>
          <w:sz w:val="28"/>
          <w:szCs w:val="28"/>
          <w:rtl/>
        </w:rPr>
        <w:t>على النقيض، تتبنى نظرية المصلحة الخاصة، المعروفة أيضاً بنظرية الاستحواذ، منظوراً إيجابياً يرى أن التنظيم غالباً ما يُسيطر عليه من قبل أطراف قوية لخدمة مصالحها الخاصة. هذه النظرية، التي طورها جورج ستيغلر في السبعينيات، تفترض أن الجهات التنظيمية "تُستحوذ" عليها من قبل مجموعات الضغط، مثل الإدارات التنفيذية أو كبار المساهمين، لصياغة معايير تقلل التكاليف السياسية أو تعظم المكاسب. في المحاسبة، يتجلى ذلك في الإفصاحات التي تخدم مصالح الشركات، مثل تقليل الإفصاح عن المخاطر للحفاظ على علاقات مع المجموعات النافذة وضمان البقاء المالي.</w:t>
      </w:r>
      <w:r>
        <w:rPr>
          <w:rFonts w:cs="Arial" w:hint="cs"/>
          <w:sz w:val="28"/>
          <w:szCs w:val="28"/>
          <w:rtl/>
        </w:rPr>
        <w:t xml:space="preserve"> </w:t>
      </w:r>
    </w:p>
    <w:p w:rsidR="0006671E" w:rsidRPr="008A7E01" w:rsidRDefault="0006671E" w:rsidP="0006671E">
      <w:pPr>
        <w:bidi/>
        <w:spacing w:line="360" w:lineRule="auto"/>
        <w:jc w:val="lowKashida"/>
        <w:rPr>
          <w:rFonts w:cs="Arial"/>
          <w:sz w:val="28"/>
          <w:szCs w:val="28"/>
          <w:rtl/>
        </w:rPr>
      </w:pPr>
      <w:r w:rsidRPr="008A7E01">
        <w:rPr>
          <w:rFonts w:cs="Arial"/>
          <w:sz w:val="28"/>
          <w:szCs w:val="28"/>
          <w:rtl/>
        </w:rPr>
        <w:t>من الناحية النظرية، تركز النظرية على "القيود السياسية"، حيث تسعى الشركات إلى تبني معايير تمنحها مزايا تنافسية. على سبيل المثال، قد تضغط الشركات الكبرى على الـ</w:t>
      </w:r>
      <w:r w:rsidRPr="008A7E01">
        <w:rPr>
          <w:rFonts w:cs="Arial"/>
          <w:sz w:val="28"/>
          <w:szCs w:val="28"/>
        </w:rPr>
        <w:t xml:space="preserve">FASB </w:t>
      </w:r>
      <w:r w:rsidRPr="008A7E01">
        <w:rPr>
          <w:rFonts w:cs="Arial"/>
          <w:sz w:val="28"/>
          <w:szCs w:val="28"/>
          <w:rtl/>
        </w:rPr>
        <w:t xml:space="preserve">لتعديل معايير الإفصاح عن الالتزامات البيئية لتقليل التكاليف. هذا الاستحواذ يحدث عبر آليات </w:t>
      </w:r>
      <w:r w:rsidRPr="008A7E01">
        <w:rPr>
          <w:rFonts w:cs="Arial"/>
          <w:sz w:val="28"/>
          <w:szCs w:val="28"/>
          <w:rtl/>
        </w:rPr>
        <w:lastRenderedPageBreak/>
        <w:t>مثل اللوبيينغ أو "الباب الدوار</w:t>
      </w:r>
      <w:r w:rsidRPr="008A7E01">
        <w:rPr>
          <w:rFonts w:cs="Arial"/>
          <w:sz w:val="28"/>
          <w:szCs w:val="28"/>
        </w:rPr>
        <w:t>" (Revolving Door)</w:t>
      </w:r>
      <w:r w:rsidRPr="008A7E01">
        <w:rPr>
          <w:rFonts w:cs="Arial"/>
          <w:sz w:val="28"/>
          <w:szCs w:val="28"/>
          <w:rtl/>
        </w:rPr>
        <w:t>، حيث ينتقل المنظمون إلى مناصب في القطاع الخاص.</w:t>
      </w:r>
      <w:r>
        <w:rPr>
          <w:rFonts w:cs="Arial" w:hint="cs"/>
          <w:sz w:val="28"/>
          <w:szCs w:val="28"/>
          <w:rtl/>
        </w:rPr>
        <w:t xml:space="preserve"> </w:t>
      </w:r>
      <w:r w:rsidRPr="008A7E01">
        <w:rPr>
          <w:rFonts w:cs="Arial"/>
          <w:sz w:val="28"/>
          <w:szCs w:val="28"/>
          <w:rtl/>
        </w:rPr>
        <w:t>في التطورات الحديثة، أظهرت دراسة من جامعة ييل عام 2023 أن المنظمين الحكوميين في الولايات المتحدة قد يفضلون أرباب عملهم المستقبليين في القطاع الخاص، مما يعكس استحواذاً تنظيمياً. ركزت الدراسة على شركات الزراعة الحيوية وإدارة الزراعة الأمريكية</w:t>
      </w:r>
      <w:r w:rsidRPr="008A7E01">
        <w:rPr>
          <w:rFonts w:cs="Arial"/>
          <w:sz w:val="28"/>
          <w:szCs w:val="28"/>
        </w:rPr>
        <w:t xml:space="preserve"> (USDA)</w:t>
      </w:r>
      <w:r w:rsidRPr="008A7E01">
        <w:rPr>
          <w:rFonts w:cs="Arial"/>
          <w:sz w:val="28"/>
          <w:szCs w:val="28"/>
          <w:rtl/>
        </w:rPr>
        <w:t>، حيث وجدت أن الشركات التي توظف منظمين سابقين تشهد تسريعاً في الموافقات التنظيمية قبل الانتقال بفترة تصل إلى عامين، مما يوفر ملايين الدولارات. هذا يشير إلى أن القيمة الحقيقية تكمن في التأثير قبل التوظيف، مما يتحدى النظرية التقليدية ويبرر تدخلات مثل تعزيز الشفافية قبل الانتقال</w:t>
      </w:r>
      <w:r w:rsidRPr="008A7E01">
        <w:rPr>
          <w:rFonts w:cs="Arial"/>
          <w:sz w:val="28"/>
          <w:szCs w:val="28"/>
        </w:rPr>
        <w:t xml:space="preserve">. </w:t>
      </w:r>
    </w:p>
    <w:p w:rsidR="0006671E" w:rsidRPr="008A7E01" w:rsidRDefault="0006671E" w:rsidP="0006671E">
      <w:pPr>
        <w:bidi/>
        <w:spacing w:line="360" w:lineRule="auto"/>
        <w:jc w:val="lowKashida"/>
        <w:rPr>
          <w:rFonts w:cs="Arial"/>
          <w:sz w:val="28"/>
          <w:szCs w:val="28"/>
          <w:rtl/>
        </w:rPr>
      </w:pPr>
      <w:r>
        <w:rPr>
          <w:rFonts w:cs="Arial" w:hint="cs"/>
          <w:sz w:val="28"/>
          <w:szCs w:val="28"/>
          <w:rtl/>
        </w:rPr>
        <w:t xml:space="preserve"> </w:t>
      </w:r>
      <w:r w:rsidRPr="008A7E01">
        <w:rPr>
          <w:rFonts w:cs="Arial"/>
          <w:sz w:val="28"/>
          <w:szCs w:val="28"/>
        </w:rPr>
        <w:t xml:space="preserve"> </w:t>
      </w:r>
      <w:r w:rsidRPr="008A7E01">
        <w:rPr>
          <w:rFonts w:cs="Arial"/>
          <w:sz w:val="28"/>
          <w:szCs w:val="28"/>
          <w:rtl/>
        </w:rPr>
        <w:t>كما في مدونة</w:t>
      </w:r>
      <w:r w:rsidRPr="008A7E01">
        <w:rPr>
          <w:rFonts w:cs="Arial"/>
          <w:sz w:val="28"/>
          <w:szCs w:val="28"/>
        </w:rPr>
        <w:t xml:space="preserve"> Regulatory Frontlines </w:t>
      </w:r>
      <w:r w:rsidRPr="008A7E01">
        <w:rPr>
          <w:rFonts w:cs="Arial"/>
          <w:sz w:val="28"/>
          <w:szCs w:val="28"/>
          <w:rtl/>
        </w:rPr>
        <w:t>عام 2022، يرى المنظور الخاص أن الفشل التنظيمي ينشأ من استحواذ الجهات المستهدفة على المنظمين، مما يؤدي إلى إهمال المصلحة العامة. أمثلة تشمل حملات اللوبيينغ ضد التنظيم في السبعينيات، حيث اعتمد المنظمون على معلومات الصناعة، مما أعطاها ميزة. النظرية ترتبط بنظرية دورة الحياة، حيث تفقد الوكالات حماسها مع الوقت وتصبح أكثر اعتماداً على المجموعات الخاصة</w:t>
      </w:r>
      <w:r w:rsidRPr="008A7E01">
        <w:rPr>
          <w:rFonts w:cs="Arial"/>
          <w:sz w:val="28"/>
          <w:szCs w:val="28"/>
        </w:rPr>
        <w:t xml:space="preserve">. </w:t>
      </w:r>
    </w:p>
    <w:p w:rsidR="0006671E" w:rsidRPr="008A7E01" w:rsidRDefault="0006671E" w:rsidP="0006671E">
      <w:pPr>
        <w:bidi/>
        <w:spacing w:line="360" w:lineRule="auto"/>
        <w:jc w:val="lowKashida"/>
        <w:rPr>
          <w:rFonts w:cs="Arial"/>
          <w:sz w:val="28"/>
          <w:szCs w:val="28"/>
          <w:rtl/>
        </w:rPr>
      </w:pPr>
      <w:r w:rsidRPr="008A7E01">
        <w:rPr>
          <w:rFonts w:cs="Arial"/>
          <w:sz w:val="28"/>
          <w:szCs w:val="28"/>
        </w:rPr>
        <w:t xml:space="preserve"> </w:t>
      </w:r>
      <w:r w:rsidRPr="008A7E01">
        <w:rPr>
          <w:rFonts w:cs="Arial"/>
          <w:sz w:val="28"/>
          <w:szCs w:val="28"/>
          <w:rtl/>
        </w:rPr>
        <w:t>في سياق الأزمات، أكدت دراسة</w:t>
      </w:r>
      <w:r w:rsidRPr="008A7E01">
        <w:rPr>
          <w:rFonts w:cs="Arial"/>
          <w:sz w:val="28"/>
          <w:szCs w:val="28"/>
        </w:rPr>
        <w:t xml:space="preserve"> CEPR </w:t>
      </w:r>
      <w:r w:rsidRPr="008A7E01">
        <w:rPr>
          <w:rFonts w:cs="Arial"/>
          <w:sz w:val="28"/>
          <w:szCs w:val="28"/>
          <w:rtl/>
        </w:rPr>
        <w:t>عام 2020 أن قناة المصلحة الخاصة تفعل بعد الأزمات، خاصة لدى السياسيين المحدودي المدة، الذين يفرضون تنظيمات أكبر (أربع مرات) لاستخراج الريع، مثل زيادة حواجز الدخول المصرفية أو تقليل الإشراف. اعتمدت على بيانات من 1973-2015، وأظهرت تأخيراً زمنياً (ثلاث سنوات) مقارنة بالقناة العامة</w:t>
      </w:r>
      <w:r w:rsidRPr="008A7E01">
        <w:rPr>
          <w:rFonts w:cs="Arial"/>
          <w:sz w:val="28"/>
          <w:szCs w:val="28"/>
        </w:rPr>
        <w:t xml:space="preserve">. </w:t>
      </w:r>
    </w:p>
    <w:p w:rsidR="0006671E" w:rsidRPr="0022333F" w:rsidRDefault="0006671E" w:rsidP="0006671E">
      <w:pPr>
        <w:bidi/>
        <w:spacing w:line="360" w:lineRule="auto"/>
        <w:jc w:val="lowKashida"/>
        <w:rPr>
          <w:rFonts w:cs="Arial"/>
          <w:sz w:val="28"/>
          <w:szCs w:val="28"/>
          <w:rtl/>
        </w:rPr>
      </w:pPr>
      <w:r w:rsidRPr="0022333F">
        <w:rPr>
          <w:rFonts w:cs="Arial"/>
          <w:sz w:val="28"/>
          <w:szCs w:val="28"/>
          <w:rtl/>
        </w:rPr>
        <w:t xml:space="preserve">تتبنى هذه النظرية منظوراً مختلفاً (غالبًا </w:t>
      </w:r>
      <w:r>
        <w:rPr>
          <w:rFonts w:cs="Arial" w:hint="cs"/>
          <w:sz w:val="28"/>
          <w:szCs w:val="28"/>
          <w:rtl/>
        </w:rPr>
        <w:t>وضعي</w:t>
      </w:r>
      <w:r w:rsidRPr="0022333F">
        <w:rPr>
          <w:rFonts w:cs="Arial"/>
          <w:sz w:val="28"/>
          <w:szCs w:val="28"/>
          <w:rtl/>
        </w:rPr>
        <w:t>) حيث ترى أن التنظيم ليس دائماً للمصلحة العامة، بل يتم "الاستحواذ" عليه من قبل أطراف قوية</w:t>
      </w:r>
      <w:r w:rsidRPr="0022333F">
        <w:rPr>
          <w:rFonts w:cs="Arial"/>
          <w:sz w:val="28"/>
          <w:szCs w:val="28"/>
        </w:rPr>
        <w:t>:</w:t>
      </w:r>
    </w:p>
    <w:p w:rsidR="0006671E" w:rsidRPr="0022333F" w:rsidRDefault="0006671E" w:rsidP="0006671E">
      <w:pPr>
        <w:pStyle w:val="ListParagraph"/>
        <w:numPr>
          <w:ilvl w:val="0"/>
          <w:numId w:val="1"/>
        </w:numPr>
        <w:bidi/>
        <w:spacing w:line="360" w:lineRule="auto"/>
        <w:jc w:val="lowKashida"/>
        <w:rPr>
          <w:rFonts w:cs="Arial"/>
          <w:sz w:val="28"/>
          <w:szCs w:val="28"/>
          <w:rtl/>
        </w:rPr>
      </w:pPr>
      <w:r w:rsidRPr="0022333F">
        <w:rPr>
          <w:rFonts w:cs="Arial"/>
          <w:sz w:val="28"/>
          <w:szCs w:val="28"/>
          <w:rtl/>
        </w:rPr>
        <w:t>خدمة مجموعات ضغط: تنظيم المحاسبة قد يخدم مصالح "أصحاب المصلحة" الخاصين (مثل الإدارة، كبار المساهمين) للحصول على مزايا معينة</w:t>
      </w:r>
      <w:r w:rsidRPr="0022333F">
        <w:rPr>
          <w:rFonts w:cs="Arial"/>
          <w:sz w:val="28"/>
          <w:szCs w:val="28"/>
        </w:rPr>
        <w:t>.</w:t>
      </w:r>
    </w:p>
    <w:p w:rsidR="0006671E" w:rsidRPr="0022333F" w:rsidRDefault="0006671E" w:rsidP="0006671E">
      <w:pPr>
        <w:pStyle w:val="ListParagraph"/>
        <w:numPr>
          <w:ilvl w:val="0"/>
          <w:numId w:val="1"/>
        </w:numPr>
        <w:bidi/>
        <w:spacing w:line="360" w:lineRule="auto"/>
        <w:jc w:val="lowKashida"/>
        <w:rPr>
          <w:rFonts w:cs="Arial"/>
          <w:sz w:val="28"/>
          <w:szCs w:val="28"/>
          <w:rtl/>
        </w:rPr>
      </w:pPr>
      <w:r w:rsidRPr="0022333F">
        <w:rPr>
          <w:rFonts w:cs="Arial"/>
          <w:sz w:val="28"/>
          <w:szCs w:val="28"/>
          <w:rtl/>
        </w:rPr>
        <w:t>القيود السياسية: تسعى الشركات لتبني معايير محاسبية معينة لتقليل التكاليف السياسية أو تعظيم المكافآت</w:t>
      </w:r>
      <w:r w:rsidRPr="0022333F">
        <w:rPr>
          <w:rFonts w:cs="Arial"/>
          <w:sz w:val="28"/>
          <w:szCs w:val="28"/>
        </w:rPr>
        <w:t>.</w:t>
      </w:r>
    </w:p>
    <w:p w:rsidR="0006671E" w:rsidRPr="0022333F" w:rsidRDefault="0006671E" w:rsidP="0006671E">
      <w:pPr>
        <w:pStyle w:val="ListParagraph"/>
        <w:numPr>
          <w:ilvl w:val="0"/>
          <w:numId w:val="1"/>
        </w:numPr>
        <w:bidi/>
        <w:spacing w:line="360" w:lineRule="auto"/>
        <w:jc w:val="lowKashida"/>
        <w:rPr>
          <w:rFonts w:cs="Arial"/>
          <w:sz w:val="28"/>
          <w:szCs w:val="28"/>
          <w:rtl/>
        </w:rPr>
      </w:pPr>
      <w:r w:rsidRPr="0022333F">
        <w:rPr>
          <w:rFonts w:cs="Arial"/>
          <w:sz w:val="28"/>
          <w:szCs w:val="28"/>
          <w:rtl/>
        </w:rPr>
        <w:t xml:space="preserve">الجانب الإداري: يتم الافصاح عن المعلومات كأداة لإدارة علاقات الشركات مع المجموعات النافذة لضمان بقائها المالي. </w:t>
      </w:r>
    </w:p>
    <w:p w:rsidR="00311780" w:rsidRDefault="00311780">
      <w:bookmarkStart w:id="0" w:name="_GoBack"/>
      <w:bookmarkEnd w:id="0"/>
    </w:p>
    <w:sectPr w:rsidR="00311780" w:rsidSect="00847CB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635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26455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71E"/>
    <w:rsid w:val="0006671E"/>
    <w:rsid w:val="00311780"/>
    <w:rsid w:val="00847C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71E"/>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6671E"/>
    <w:pPr>
      <w:ind w:left="720"/>
      <w:contextualSpacing/>
    </w:pPr>
  </w:style>
  <w:style w:type="character" w:customStyle="1" w:styleId="ListParagraphChar">
    <w:name w:val="List Paragraph Char"/>
    <w:basedOn w:val="DefaultParagraphFont"/>
    <w:link w:val="ListParagraph"/>
    <w:uiPriority w:val="34"/>
    <w:rsid w:val="0006671E"/>
    <w:rPr>
      <w:kern w:val="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71E"/>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6671E"/>
    <w:pPr>
      <w:ind w:left="720"/>
      <w:contextualSpacing/>
    </w:pPr>
  </w:style>
  <w:style w:type="character" w:customStyle="1" w:styleId="ListParagraphChar">
    <w:name w:val="List Paragraph Char"/>
    <w:basedOn w:val="DefaultParagraphFont"/>
    <w:link w:val="ListParagraph"/>
    <w:uiPriority w:val="34"/>
    <w:rsid w:val="0006671E"/>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3235</Words>
  <Characters>18440</Characters>
  <Application>Microsoft Office Word</Application>
  <DocSecurity>0</DocSecurity>
  <Lines>153</Lines>
  <Paragraphs>43</Paragraphs>
  <ScaleCrop>false</ScaleCrop>
  <Company>SACC</Company>
  <LinksUpToDate>false</LinksUpToDate>
  <CharactersWithSpaces>21632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yoyo</dc:creator>
  <cp:lastModifiedBy>yoyo</cp:lastModifiedBy>
  <cp:revision>1</cp:revision>
  <dcterms:created xsi:type="dcterms:W3CDTF">2026-02-22T18:33:00Z</dcterms:created>
  <dcterms:modified xsi:type="dcterms:W3CDTF">2026-02-22T18:33:00Z</dcterms:modified>
</cp:coreProperties>
</file>