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9" w:rsidRPr="00B36619" w:rsidRDefault="00B36619">
      <w:pPr>
        <w:rPr>
          <w:rFonts w:asciiTheme="majorBidi" w:hAnsiTheme="majorBidi" w:cstheme="majorBidi"/>
          <w:color w:val="4C4C4C"/>
          <w:sz w:val="32"/>
          <w:szCs w:val="32"/>
          <w:rtl/>
        </w:rPr>
      </w:pPr>
      <w:r>
        <w:rPr>
          <w:rFonts w:asciiTheme="majorBidi" w:hAnsiTheme="majorBidi" w:cstheme="majorBidi" w:hint="cs"/>
          <w:color w:val="4C4C4C"/>
          <w:sz w:val="32"/>
          <w:szCs w:val="32"/>
          <w:shd w:val="clear" w:color="auto" w:fill="FFFFFF"/>
          <w:rtl/>
        </w:rPr>
        <w:t>ا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لمعايير الدولية لحقوق </w:t>
      </w:r>
      <w:proofErr w:type="spellStart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الانسان</w:t>
      </w:r>
      <w:proofErr w:type="spellEnd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4C4C4C"/>
          <w:sz w:val="32"/>
          <w:szCs w:val="32"/>
          <w:shd w:val="clear" w:color="auto" w:fill="FFFFFF"/>
          <w:rtl/>
        </w:rPr>
        <w:t xml:space="preserve">//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هي مجموعة الاتفاقيات والوثائق التي تشكل منظومة حقوق </w:t>
      </w:r>
      <w:proofErr w:type="spellStart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الانسان</w:t>
      </w:r>
      <w:proofErr w:type="spellEnd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 عالميا وقد تطورت مع مرور الزمن لتنقسم إلى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: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* 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  <w:rtl/>
        </w:rPr>
        <w:t>اتفاقيات تحمى مجموعة كاملة من الحقوق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>: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العهد الدولي الخاص بالحقوق المدنية والسياسية (1966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العهد الدولي الخاص بالحقوق الاقتصادية والاجتماعية والثقافية (1966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* 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  <w:rtl/>
        </w:rPr>
        <w:t>اتفاقيات تحمى فئات معينة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>: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حقوق الطفل (1989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 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البرتوكول الاختياري لاتفاقية حقوق الطفل المتعلق باشتراك الأطفال في المنازعات المسلحة (2000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البرتوكول الاختياري لاتفاقية حقوق الطفل المتعلق ببيع الأطفال واستغلال الأطفال في البغاء وفى المواد الإباحية (2000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القضاء على جميع أشكال التمييز ضد المرأة (1979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البرتوكول الاختياري الملحق باتفاقية القضاء على جميع أشكال التمييز ضد المرآة(تلقى الرسائل) 1999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بشأن الحقوق السياسية للمرأة (1954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بشأن الرضا بالزواج، والحد الأدنى لسن الزواج وتسجيل عقود الزواج (1962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الاتفاقية الخاصة بوضع اللاجئين (1950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البرتوكول الخاص بوضع اللاجئين (1966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اتفاقيات منظمة العمل الدولية "حقوق الإنسان "(182 اتفاقية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 ) 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الإعلان الخاص بالمدافعين عن حقوق الإنسان (1998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الإعلان الخاص بحقوق المعوقين(1975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مبادئ حماية الأشخاص المصابين بمرض عقلي وتحسين الرعاية الصحية العقلية (1991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 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الإعلان الخاص بحقوق المتخلفين عقليا (1971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إعلان بشأن مرض الايدز(2001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قواعد الأمم المتحدة بشأن حماية الأحداث المجردين من حريتهم (1990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الاتفاقية الدولية لحماية حقوق جميع العمال المهاجرين وأفراد أسرهم (1990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*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برتوكول مكافحة تهريب المهاجرين عن طريق البر والبحر والجو، المكمل لاتفاقية الأمم المتحدة لمكافحة الجريمة المنظمة عبر الوطنية(2000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666666"/>
        </w:rPr>
        <w:t xml:space="preserve">* 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666666"/>
          <w:rtl/>
        </w:rPr>
        <w:t>اتفاقيات تواجه انتهاكات معينة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666666"/>
        </w:rPr>
        <w:t>: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مناهضة التعذيب (1984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البرتوكول الملحق باتفاقية التعذيب" زيارات مقار الاحتجاز " (2002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lastRenderedPageBreak/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القضاء على جميع أشكال التمييز العنصري(1965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الاتفاقية الدولية لمناهضة الفصل العنصري في الألعاب الرياضية (1985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الاتفاقية الخاصة بمكافحة التمييز في مجال التعليم (1960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الاتفاقية الدولية لقمع جريمة الفصل العنصري والمعاقبة عليها(1976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* 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  <w:rtl/>
        </w:rPr>
        <w:t>اتفاقيات توفر حماية في حالات معينة " النزاع المسلح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 "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اتفاقيات جنيف الأربع (1949) وبرتوكولاها الملحقان (1977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لاهاي بشأن حماية الممتلكات الثقافية في حالة النزاع المسلح (1954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لاهاي بشأن حقوق وواجبات الدول المحايدة والأشخاص المحايدين في حالة الحرب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    (1907) 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إعلان بشأن حماية النساء والأطفال في حالات الطوارئ والمنازعات المسلحة (1974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* 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  <w:rtl/>
        </w:rPr>
        <w:t>اتفاقيات لحماية العدالة الجنائية الدولية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 :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النظام الأساسي للمحكمة الجنائية الدولية (1998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منع جريمة الإبادة الجماعية والمعاقبة عليها (1948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عدم تقادم جرائم الحرب والجرائم المرتكبة ضد الإنسانية (1968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مبادئ التعاون الدولي في تعقب واعتقال وتسليم ومعاقبة الأشخاص المذنبين بارتكاب جرائم حرب والجرائم ضد الإنسانية(1973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</w:p>
    <w:p w:rsidR="00C83CDB" w:rsidRPr="00B36619" w:rsidRDefault="00B36619">
      <w:pPr>
        <w:rPr>
          <w:rFonts w:asciiTheme="majorBidi" w:hAnsiTheme="majorBidi" w:cstheme="majorBidi"/>
          <w:sz w:val="32"/>
          <w:szCs w:val="32"/>
          <w:lang w:bidi="ar-IQ"/>
        </w:rPr>
      </w:pP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* 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  <w:rtl/>
        </w:rPr>
        <w:t>مجموعة الإعلانات ومجموعات المبادئ ومدونات السلوك والقواعد النموذجية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>: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لـ(حماية السجناء- واجبات الموظفين – استقلال السلطة القضائية- دور المحامين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- 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    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أعضاء النيابة العامة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>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>*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  <w:rtl/>
        </w:rPr>
        <w:t>الآليات الإقليمية لحقوق الإنسان</w:t>
      </w:r>
      <w:r w:rsidRPr="00B36619">
        <w:rPr>
          <w:rFonts w:asciiTheme="majorBidi" w:hAnsiTheme="majorBidi" w:cstheme="majorBidi"/>
          <w:color w:val="4C4C4C"/>
          <w:sz w:val="32"/>
          <w:szCs w:val="32"/>
          <w:bdr w:val="none" w:sz="0" w:space="0" w:color="auto" w:frame="1"/>
          <w:shd w:val="clear" w:color="auto" w:fill="999999"/>
        </w:rPr>
        <w:t xml:space="preserve"> :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الميثاق العربي لحقوق الإنسان الصادر في القاهرة 2004 ( النظام العربي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 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الميثاق الأفريقي لحقوق الإنسان والشعوب الصادر في </w:t>
      </w:r>
      <w:proofErr w:type="spellStart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نيوربي</w:t>
      </w:r>
      <w:proofErr w:type="spellEnd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 ( النظام الإفريقي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 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الاتفاقية الأمريكية لحقوق الإنسان الصادرة في سان </w:t>
      </w:r>
      <w:proofErr w:type="spellStart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خوسيه</w:t>
      </w:r>
      <w:proofErr w:type="spellEnd"/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 xml:space="preserve"> 1969 (النظام الأمريكي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 )</w:t>
      </w:r>
      <w:r w:rsidRPr="00B36619">
        <w:rPr>
          <w:rFonts w:asciiTheme="majorBidi" w:hAnsiTheme="majorBidi" w:cstheme="majorBidi"/>
          <w:color w:val="4C4C4C"/>
          <w:sz w:val="32"/>
          <w:szCs w:val="32"/>
        </w:rPr>
        <w:br/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  * 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  <w:rtl/>
        </w:rPr>
        <w:t>اتفاقية حماية حقوق الإنسان والحريات الصادرة في روما 1950 (النظام الأوربي</w:t>
      </w:r>
      <w:r w:rsidRPr="00B36619">
        <w:rPr>
          <w:rFonts w:asciiTheme="majorBidi" w:hAnsiTheme="majorBidi" w:cstheme="majorBidi"/>
          <w:color w:val="4C4C4C"/>
          <w:sz w:val="32"/>
          <w:szCs w:val="32"/>
          <w:shd w:val="clear" w:color="auto" w:fill="FFFFFF"/>
        </w:rPr>
        <w:t xml:space="preserve"> )</w:t>
      </w:r>
    </w:p>
    <w:sectPr w:rsidR="00C83CDB" w:rsidRPr="00B36619" w:rsidSect="00E01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36619"/>
    <w:rsid w:val="001E6F93"/>
    <w:rsid w:val="00844245"/>
    <w:rsid w:val="00B36619"/>
    <w:rsid w:val="00C83CDB"/>
    <w:rsid w:val="00E0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2018-01-14T16:25:00Z</dcterms:created>
  <dcterms:modified xsi:type="dcterms:W3CDTF">2018-01-14T16:27:00Z</dcterms:modified>
</cp:coreProperties>
</file>