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61" w:rsidRPr="009C5961" w:rsidRDefault="009C5961" w:rsidP="009C5961">
      <w:pPr>
        <w:spacing w:line="360" w:lineRule="auto"/>
        <w:jc w:val="center"/>
        <w:rPr>
          <w:b/>
          <w:bCs/>
          <w:sz w:val="32"/>
          <w:szCs w:val="32"/>
          <w:lang w:bidi="ar-IQ"/>
        </w:rPr>
      </w:pPr>
      <w:r w:rsidRPr="009C5961">
        <w:rPr>
          <w:b/>
          <w:bCs/>
          <w:sz w:val="32"/>
          <w:szCs w:val="32"/>
          <w:rtl/>
          <w:lang w:bidi="ar-IQ"/>
        </w:rPr>
        <w:t>التشبيه</w:t>
      </w:r>
    </w:p>
    <w:p w:rsidR="009C5961" w:rsidRDefault="009C5961" w:rsidP="009C5961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التشبيه </w:t>
      </w:r>
      <w:proofErr w:type="gramStart"/>
      <w:r>
        <w:rPr>
          <w:sz w:val="32"/>
          <w:szCs w:val="32"/>
          <w:rtl/>
          <w:lang w:bidi="ar-IQ"/>
        </w:rPr>
        <w:t>لغةً :</w:t>
      </w:r>
      <w:proofErr w:type="gramEnd"/>
      <w:r>
        <w:rPr>
          <w:sz w:val="32"/>
          <w:szCs w:val="32"/>
          <w:rtl/>
          <w:lang w:bidi="ar-IQ"/>
        </w:rPr>
        <w:t xml:space="preserve"> هو التمثيل أو المماثلة والمحاكاة وهو مصدر من فعل شَبَّه ، يقال شبّه هذا بهذا تشبيهاً. </w:t>
      </w:r>
    </w:p>
    <w:p w:rsidR="009C5961" w:rsidRDefault="009C5961" w:rsidP="009C5961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التشبيه </w:t>
      </w:r>
      <w:proofErr w:type="gramStart"/>
      <w:r>
        <w:rPr>
          <w:sz w:val="32"/>
          <w:szCs w:val="32"/>
          <w:rtl/>
          <w:lang w:bidi="ar-IQ"/>
        </w:rPr>
        <w:t>اصطلاحاً :</w:t>
      </w:r>
      <w:proofErr w:type="gramEnd"/>
      <w:r>
        <w:rPr>
          <w:sz w:val="32"/>
          <w:szCs w:val="32"/>
          <w:rtl/>
          <w:lang w:bidi="ar-IQ"/>
        </w:rPr>
        <w:t xml:space="preserve"> تعريفات كثيرة ، أوضحها قولهم : </w:t>
      </w:r>
      <w:r>
        <w:rPr>
          <w:sz w:val="32"/>
          <w:szCs w:val="32"/>
          <w:vertAlign w:val="superscript"/>
          <w:rtl/>
          <w:lang w:bidi="ar-IQ"/>
        </w:rPr>
        <w:t>((</w:t>
      </w:r>
      <w:r>
        <w:rPr>
          <w:sz w:val="32"/>
          <w:szCs w:val="32"/>
          <w:rtl/>
          <w:lang w:bidi="ar-IQ"/>
        </w:rPr>
        <w:t xml:space="preserve"> هو الدلالة على مشاركة أمرٍ لأمر في معنى من المعاني أو أكثر لجامعٍ بينهما ، لغرض يقصده المتكلم ، بإحدى أدوات التشبيه ملفوظة أو مقدرة )).</w:t>
      </w:r>
    </w:p>
    <w:p w:rsidR="009C5961" w:rsidRDefault="009C5961" w:rsidP="009C5961">
      <w:pPr>
        <w:spacing w:line="360" w:lineRule="auto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أركان التشبيه أربعة </w:t>
      </w:r>
      <w:proofErr w:type="gramStart"/>
      <w:r>
        <w:rPr>
          <w:sz w:val="32"/>
          <w:szCs w:val="32"/>
          <w:rtl/>
          <w:lang w:bidi="ar-IQ"/>
        </w:rPr>
        <w:t>هي :</w:t>
      </w:r>
      <w:proofErr w:type="gramEnd"/>
      <w:r>
        <w:rPr>
          <w:sz w:val="32"/>
          <w:szCs w:val="32"/>
          <w:rtl/>
          <w:lang w:bidi="ar-IQ"/>
        </w:rPr>
        <w:t xml:space="preserve"> </w:t>
      </w:r>
    </w:p>
    <w:p w:rsidR="009C5961" w:rsidRDefault="009C5961" w:rsidP="009C5961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  <w:rtl/>
          <w:lang w:bidi="ar-IQ"/>
        </w:rPr>
      </w:pPr>
      <w:proofErr w:type="gramStart"/>
      <w:r>
        <w:rPr>
          <w:sz w:val="32"/>
          <w:szCs w:val="32"/>
          <w:rtl/>
          <w:lang w:bidi="ar-IQ"/>
        </w:rPr>
        <w:t>المشبه :</w:t>
      </w:r>
      <w:proofErr w:type="gramEnd"/>
      <w:r>
        <w:rPr>
          <w:sz w:val="32"/>
          <w:szCs w:val="32"/>
          <w:rtl/>
          <w:lang w:bidi="ar-IQ"/>
        </w:rPr>
        <w:t xml:space="preserve"> وهو الأمر الذي يراد تشبيههُ أو إلحاقهُ بغيره ، أو هو الموضوع المقصود بالوصف ، كما جاء في قوله تعالى " يَومَ تكوُنُ السماءُ كالمُهْلِ " المعارج : 8 ، فالمشبه هنا هو ( السماء) وهو الركن الاساسي الأول في العبارة التي يهدف التشبيه إيضاح صورته ، شبَهها ( بالمهل وهو المعدن المذاب ) . </w:t>
      </w:r>
    </w:p>
    <w:p w:rsidR="009C5961" w:rsidRDefault="009C5961" w:rsidP="009C5961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 xml:space="preserve">المشبه </w:t>
      </w:r>
      <w:proofErr w:type="gramStart"/>
      <w:r>
        <w:rPr>
          <w:sz w:val="32"/>
          <w:szCs w:val="32"/>
          <w:rtl/>
          <w:lang w:bidi="ar-IQ"/>
        </w:rPr>
        <w:t>به :</w:t>
      </w:r>
      <w:proofErr w:type="gramEnd"/>
      <w:r>
        <w:rPr>
          <w:sz w:val="32"/>
          <w:szCs w:val="32"/>
          <w:rtl/>
          <w:lang w:bidi="ar-IQ"/>
        </w:rPr>
        <w:t xml:space="preserve"> وهو الركن الثاني من التشبيه والأمر الذي يُشبه به ، وينبغي أن يكون المشبه به أعلى رتبةً من المشبه ، ومثاله قوله تعالى " الزجاجةُ كأنها كوكبٌ دُرّيٌّ" فالمشبه به هنا هو (كوكبٌ دُرّيٌّ). </w:t>
      </w:r>
    </w:p>
    <w:p w:rsidR="009C5961" w:rsidRDefault="009C5961" w:rsidP="009C5961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 xml:space="preserve">أداة </w:t>
      </w:r>
      <w:proofErr w:type="gramStart"/>
      <w:r>
        <w:rPr>
          <w:sz w:val="32"/>
          <w:szCs w:val="32"/>
          <w:rtl/>
          <w:lang w:bidi="ar-IQ"/>
        </w:rPr>
        <w:t>التشبيه :</w:t>
      </w:r>
      <w:proofErr w:type="gramEnd"/>
      <w:r>
        <w:rPr>
          <w:sz w:val="32"/>
          <w:szCs w:val="32"/>
          <w:rtl/>
          <w:lang w:bidi="ar-IQ"/>
        </w:rPr>
        <w:t xml:space="preserve"> وهي الأداة التي يتم عن طريقها الربط بين المشبه والمشبه به ، والأصل أن تذكر ، وقد تحذف احياناً ، وهي ثلاثة أنواع : </w:t>
      </w:r>
    </w:p>
    <w:p w:rsidR="009C5961" w:rsidRDefault="009C5961" w:rsidP="009C5961">
      <w:pPr>
        <w:pStyle w:val="a3"/>
        <w:numPr>
          <w:ilvl w:val="0"/>
          <w:numId w:val="2"/>
        </w:numPr>
        <w:spacing w:line="360" w:lineRule="auto"/>
        <w:jc w:val="both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rtl/>
          <w:lang w:bidi="ar-IQ"/>
        </w:rPr>
        <w:t>حروف :</w:t>
      </w:r>
      <w:proofErr w:type="gramEnd"/>
      <w:r>
        <w:rPr>
          <w:sz w:val="32"/>
          <w:szCs w:val="32"/>
          <w:rtl/>
          <w:lang w:bidi="ar-IQ"/>
        </w:rPr>
        <w:t xml:space="preserve"> هما (كأن) نحو قوله تعالى " طَلْعُها كأنهُ رءُوسُ الشياطين"  و ( الكاف) ، كقول الشاعر جعفر الحلي : </w:t>
      </w:r>
    </w:p>
    <w:p w:rsidR="009C5961" w:rsidRDefault="009C5961" w:rsidP="009C5961">
      <w:pPr>
        <w:pStyle w:val="a3"/>
        <w:spacing w:line="360" w:lineRule="auto"/>
        <w:ind w:left="1080"/>
        <w:jc w:val="both"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 xml:space="preserve">ولهُ إلى الإقدام سُرعة هاربٍ               وكأنما هو في التقدمِ يسلمُ </w:t>
      </w:r>
    </w:p>
    <w:p w:rsidR="009C5961" w:rsidRDefault="009C5961" w:rsidP="009C5961">
      <w:pPr>
        <w:pStyle w:val="a3"/>
        <w:numPr>
          <w:ilvl w:val="0"/>
          <w:numId w:val="2"/>
        </w:numPr>
        <w:spacing w:line="360" w:lineRule="auto"/>
        <w:jc w:val="both"/>
        <w:rPr>
          <w:sz w:val="32"/>
          <w:szCs w:val="32"/>
          <w:rtl/>
          <w:lang w:bidi="ar-IQ"/>
        </w:rPr>
      </w:pPr>
      <w:proofErr w:type="gramStart"/>
      <w:r>
        <w:rPr>
          <w:sz w:val="32"/>
          <w:szCs w:val="32"/>
          <w:rtl/>
          <w:lang w:bidi="ar-IQ"/>
        </w:rPr>
        <w:t>أسماء ،</w:t>
      </w:r>
      <w:proofErr w:type="gramEnd"/>
      <w:r>
        <w:rPr>
          <w:sz w:val="32"/>
          <w:szCs w:val="32"/>
          <w:rtl/>
          <w:lang w:bidi="ar-IQ"/>
        </w:rPr>
        <w:t xml:space="preserve"> نحو (مثل ، ومثيل ، وشبه ، وشبيه وغيرها ). </w:t>
      </w:r>
    </w:p>
    <w:p w:rsidR="009C5961" w:rsidRDefault="009C5961" w:rsidP="009C5961">
      <w:pPr>
        <w:spacing w:line="360" w:lineRule="auto"/>
        <w:ind w:left="720"/>
        <w:jc w:val="both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rtl/>
          <w:lang w:bidi="ar-IQ"/>
        </w:rPr>
        <w:lastRenderedPageBreak/>
        <w:t>ج- أفعال</w:t>
      </w:r>
      <w:proofErr w:type="gramEnd"/>
      <w:r>
        <w:rPr>
          <w:sz w:val="32"/>
          <w:szCs w:val="32"/>
          <w:rtl/>
          <w:lang w:bidi="ar-IQ"/>
        </w:rPr>
        <w:t xml:space="preserve"> : وهي تلك التي تؤدي معنى المشاركة والمماثلة ،ماضيةً كانت  أم مضارعة ، نحو : شابه يشابه ، ماثل يماثل ، ضارع يضارع، نقول : (زيدُ ماثل البحر جوداً ) وغيرها. </w:t>
      </w:r>
    </w:p>
    <w:p w:rsidR="009C5961" w:rsidRDefault="009C5961" w:rsidP="009C5961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وجه </w:t>
      </w:r>
      <w:proofErr w:type="gramStart"/>
      <w:r>
        <w:rPr>
          <w:sz w:val="32"/>
          <w:szCs w:val="32"/>
          <w:rtl/>
          <w:lang w:bidi="ar-IQ"/>
        </w:rPr>
        <w:t>الشبه :</w:t>
      </w:r>
      <w:proofErr w:type="gramEnd"/>
      <w:r>
        <w:rPr>
          <w:sz w:val="32"/>
          <w:szCs w:val="32"/>
          <w:rtl/>
          <w:lang w:bidi="ar-IQ"/>
        </w:rPr>
        <w:t xml:space="preserve"> وهو المعنى المشترك بين المشبه والمشبه به ، نحو قوله تعالى (( كمثل الحمارِ يحملُ اسفاراً )) فوجه الشبه أو الجامع بين الأمرين الجهل بالمحمول . </w:t>
      </w:r>
    </w:p>
    <w:p w:rsidR="009C5961" w:rsidRDefault="009C5961" w:rsidP="009C5961">
      <w:pPr>
        <w:pStyle w:val="a3"/>
        <w:spacing w:line="360" w:lineRule="auto"/>
        <w:ind w:left="296"/>
        <w:jc w:val="both"/>
        <w:rPr>
          <w:b/>
          <w:bCs/>
          <w:sz w:val="32"/>
          <w:szCs w:val="32"/>
          <w:u w:val="single"/>
          <w:rtl/>
          <w:lang w:bidi="ar-IQ"/>
        </w:rPr>
      </w:pPr>
    </w:p>
    <w:p w:rsidR="009C5961" w:rsidRDefault="009C5961" w:rsidP="009C5961">
      <w:pPr>
        <w:pStyle w:val="a3"/>
        <w:spacing w:line="360" w:lineRule="auto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rtl/>
          <w:lang w:bidi="ar-IQ"/>
        </w:rPr>
        <w:t xml:space="preserve">التشبيه من الوسائل البيانية التي تحرك خيال الشاعر الممتزج بحدسه الفني في التقاط ما يمكن تآلفه وتماسكه وعرضه بصورة تشد المتلقي وتجذبه </w:t>
      </w:r>
      <w:proofErr w:type="spellStart"/>
      <w:r>
        <w:rPr>
          <w:sz w:val="32"/>
          <w:szCs w:val="32"/>
          <w:rtl/>
          <w:lang w:bidi="ar-IQ"/>
        </w:rPr>
        <w:t>إالى</w:t>
      </w:r>
      <w:proofErr w:type="spellEnd"/>
      <w:r>
        <w:rPr>
          <w:sz w:val="32"/>
          <w:szCs w:val="32"/>
          <w:rtl/>
          <w:lang w:bidi="ar-IQ"/>
        </w:rPr>
        <w:t xml:space="preserve"> مسرح حدث مشوب بروح الانبهار المفاجئ لما يقدمه من أفق </w:t>
      </w:r>
      <w:proofErr w:type="gramStart"/>
      <w:r>
        <w:rPr>
          <w:sz w:val="32"/>
          <w:szCs w:val="32"/>
          <w:rtl/>
          <w:lang w:bidi="ar-IQ"/>
        </w:rPr>
        <w:t>ملون ،</w:t>
      </w:r>
      <w:proofErr w:type="gramEnd"/>
      <w:r>
        <w:rPr>
          <w:sz w:val="32"/>
          <w:szCs w:val="32"/>
          <w:rtl/>
          <w:lang w:bidi="ar-IQ"/>
        </w:rPr>
        <w:t xml:space="preserve"> كما أنه يقوم بنقل العواطف وإثارة الأحاسيس التي تتجاوب معها الأصداء ، وتلقي الأصوات ، وهو بذلك يبتعد عن الصورة التقريرية المباشرة في إيصالها المعنى إلى المتلقي.</w:t>
      </w:r>
    </w:p>
    <w:p w:rsidR="009C5961" w:rsidRDefault="009C5961" w:rsidP="009C5961">
      <w:pPr>
        <w:pStyle w:val="a3"/>
        <w:spacing w:line="360" w:lineRule="auto"/>
        <w:ind w:left="296"/>
        <w:jc w:val="both"/>
        <w:rPr>
          <w:sz w:val="32"/>
          <w:szCs w:val="32"/>
          <w:rtl/>
          <w:lang w:bidi="ar-IQ"/>
        </w:rPr>
      </w:pPr>
    </w:p>
    <w:p w:rsidR="009C5961" w:rsidRDefault="009C5961" w:rsidP="009C5961">
      <w:pPr>
        <w:pStyle w:val="a3"/>
        <w:spacing w:line="360" w:lineRule="auto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rtl/>
          <w:lang w:bidi="ar-IQ"/>
        </w:rPr>
        <w:t xml:space="preserve">وقد أخذ أسلوب التشبيه طابعاً مميَّزاً وحيَّزاً واسعاً عند الشعراء للتعبير عن إبداعهم وإبراز مواهبهم وإمكاناتهم في وصف </w:t>
      </w:r>
      <w:proofErr w:type="gramStart"/>
      <w:r>
        <w:rPr>
          <w:sz w:val="32"/>
          <w:szCs w:val="32"/>
          <w:rtl/>
          <w:lang w:bidi="ar-IQ"/>
        </w:rPr>
        <w:t>الأشياء ،</w:t>
      </w:r>
      <w:proofErr w:type="gramEnd"/>
      <w:r>
        <w:rPr>
          <w:sz w:val="32"/>
          <w:szCs w:val="32"/>
          <w:rtl/>
          <w:lang w:bidi="ar-IQ"/>
        </w:rPr>
        <w:t xml:space="preserve"> ودس المعاني المستترة من خلال عنصر </w:t>
      </w:r>
      <w:proofErr w:type="spellStart"/>
      <w:r>
        <w:rPr>
          <w:sz w:val="32"/>
          <w:szCs w:val="32"/>
          <w:rtl/>
          <w:lang w:bidi="ar-IQ"/>
        </w:rPr>
        <w:t>المشابهه</w:t>
      </w:r>
      <w:proofErr w:type="spellEnd"/>
      <w:r>
        <w:rPr>
          <w:sz w:val="32"/>
          <w:szCs w:val="32"/>
          <w:rtl/>
          <w:lang w:bidi="ar-IQ"/>
        </w:rPr>
        <w:t xml:space="preserve"> وهو ((أن يشبه الشيء إذا استدار بالكرة في وجه وبالحلقة في وجه آخر ، والتشبيه من جهة اللون كتشبيه الخدود بالورد ، والشعر بالليل ، والوجه بالنهار وتشبيه سقوط النار بعين الديك)) ، ورأي ابن رشيق القيرواني يقترب تماماً مما تقدم آنفاً عن التشبيه إذ قال </w:t>
      </w:r>
      <w:r>
        <w:rPr>
          <w:sz w:val="32"/>
          <w:szCs w:val="32"/>
          <w:lang w:bidi="ar-IQ"/>
        </w:rPr>
        <w:t>:</w:t>
      </w:r>
      <w:r>
        <w:rPr>
          <w:sz w:val="32"/>
          <w:szCs w:val="32"/>
          <w:rtl/>
          <w:lang w:bidi="ar-IQ"/>
        </w:rPr>
        <w:t xml:space="preserve"> (( وصف الشيء بما يقاربه من جهة واحدة لا من جميع الجهات )). </w:t>
      </w:r>
    </w:p>
    <w:p w:rsidR="009C5961" w:rsidRDefault="009C5961" w:rsidP="009C5961">
      <w:pPr>
        <w:pStyle w:val="a3"/>
        <w:spacing w:line="360" w:lineRule="auto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وكذلك يرى عبد القاهر الجرجاني أنَّ تشبيه الشيئين أحدهما بالآخر يكون من </w:t>
      </w:r>
      <w:proofErr w:type="gramStart"/>
      <w:r>
        <w:rPr>
          <w:sz w:val="32"/>
          <w:szCs w:val="32"/>
          <w:rtl/>
          <w:lang w:bidi="ar-IQ"/>
        </w:rPr>
        <w:t>جانبين ،</w:t>
      </w:r>
      <w:proofErr w:type="gramEnd"/>
      <w:r>
        <w:rPr>
          <w:sz w:val="32"/>
          <w:szCs w:val="32"/>
          <w:rtl/>
          <w:lang w:bidi="ar-IQ"/>
        </w:rPr>
        <w:t xml:space="preserve"> يحتاج الأول إلى تأويل ، فيشمل الشكل واللون ، والتشبيه الذي يجمع شيئين ، فيما يدخل تحت الحواس ،أما </w:t>
      </w:r>
      <w:proofErr w:type="spellStart"/>
      <w:r>
        <w:rPr>
          <w:sz w:val="32"/>
          <w:szCs w:val="32"/>
          <w:rtl/>
          <w:lang w:bidi="ar-IQ"/>
        </w:rPr>
        <w:t>الآخر،فيرى</w:t>
      </w:r>
      <w:proofErr w:type="spellEnd"/>
      <w:r>
        <w:rPr>
          <w:sz w:val="32"/>
          <w:szCs w:val="32"/>
          <w:rtl/>
          <w:lang w:bidi="ar-IQ"/>
        </w:rPr>
        <w:t xml:space="preserve"> أنه </w:t>
      </w:r>
      <w:proofErr w:type="spellStart"/>
      <w:r>
        <w:rPr>
          <w:sz w:val="32"/>
          <w:szCs w:val="32"/>
          <w:rtl/>
          <w:lang w:bidi="ar-IQ"/>
        </w:rPr>
        <w:t>لايحتاج</w:t>
      </w:r>
      <w:proofErr w:type="spellEnd"/>
      <w:r>
        <w:rPr>
          <w:sz w:val="32"/>
          <w:szCs w:val="32"/>
          <w:rtl/>
          <w:lang w:bidi="ar-IQ"/>
        </w:rPr>
        <w:t xml:space="preserve"> إلى تأويل. </w:t>
      </w:r>
    </w:p>
    <w:p w:rsidR="009C5961" w:rsidRDefault="009C5961" w:rsidP="009C5961">
      <w:pPr>
        <w:pStyle w:val="a3"/>
        <w:spacing w:line="360" w:lineRule="auto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ونلمس التشبيه عند أحد الشعراء عن طريق حصر المعاني في حيز قابل لفتح الحدود أمام المتلقي وأخذه من خلال إدراج الصورة التشبيهية في امكانية التشبث </w:t>
      </w:r>
      <w:r>
        <w:rPr>
          <w:sz w:val="32"/>
          <w:szCs w:val="32"/>
          <w:rtl/>
          <w:lang w:bidi="ar-IQ"/>
        </w:rPr>
        <w:lastRenderedPageBreak/>
        <w:t xml:space="preserve">بالمعنى الأصل والنقل الحر </w:t>
      </w:r>
      <w:proofErr w:type="gramStart"/>
      <w:r>
        <w:rPr>
          <w:sz w:val="32"/>
          <w:szCs w:val="32"/>
          <w:rtl/>
          <w:lang w:bidi="ar-IQ"/>
        </w:rPr>
        <w:t>إليه ،</w:t>
      </w:r>
      <w:proofErr w:type="gramEnd"/>
      <w:r>
        <w:rPr>
          <w:sz w:val="32"/>
          <w:szCs w:val="32"/>
          <w:rtl/>
          <w:lang w:bidi="ar-IQ"/>
        </w:rPr>
        <w:t xml:space="preserve"> مستخدماً في ذلك أقوى أدوات التصوير وامتنها (الصورة الواقعية) في خلق أجواء التأويل وفك الرموز المستديمة في معرفة الرمز ، فيوصف الاكتئاب عن طريق ما يعطي للسماء من لون (رصاصي) ، فيقول : </w:t>
      </w:r>
    </w:p>
    <w:p w:rsidR="009C5961" w:rsidRDefault="009C5961" w:rsidP="009C5961">
      <w:pPr>
        <w:pStyle w:val="a3"/>
        <w:spacing w:line="360" w:lineRule="auto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كانَ الضُّحى كالِحاً </w:t>
      </w:r>
      <w:proofErr w:type="gramStart"/>
      <w:r>
        <w:rPr>
          <w:sz w:val="32"/>
          <w:szCs w:val="32"/>
          <w:rtl/>
          <w:lang w:bidi="ar-IQ"/>
        </w:rPr>
        <w:t xml:space="preserve"> ..</w:t>
      </w:r>
      <w:proofErr w:type="gramEnd"/>
      <w:r>
        <w:rPr>
          <w:sz w:val="32"/>
          <w:szCs w:val="32"/>
          <w:rtl/>
          <w:lang w:bidi="ar-IQ"/>
        </w:rPr>
        <w:t xml:space="preserve">  والسَّماءُ رصاصيَّة </w:t>
      </w:r>
    </w:p>
    <w:p w:rsidR="009C5961" w:rsidRDefault="009C5961" w:rsidP="009C5961">
      <w:pPr>
        <w:pStyle w:val="a3"/>
        <w:spacing w:line="360" w:lineRule="auto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  والمدينَةُ خَرْساءَ كالمَقْبرَةْ... </w:t>
      </w:r>
    </w:p>
    <w:p w:rsidR="009C5961" w:rsidRDefault="009C5961" w:rsidP="009C5961">
      <w:pPr>
        <w:pStyle w:val="a3"/>
        <w:spacing w:line="360" w:lineRule="auto"/>
        <w:ind w:left="296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</w:t>
      </w:r>
      <w:r>
        <w:rPr>
          <w:sz w:val="32"/>
          <w:szCs w:val="32"/>
          <w:rtl/>
          <w:lang w:bidi="ar-IQ"/>
        </w:rPr>
        <w:t xml:space="preserve">إنهُ يعطي صورة مفصلة عن كآبة في كل </w:t>
      </w:r>
      <w:proofErr w:type="gramStart"/>
      <w:r>
        <w:rPr>
          <w:sz w:val="32"/>
          <w:szCs w:val="32"/>
          <w:rtl/>
          <w:lang w:bidi="ar-IQ"/>
        </w:rPr>
        <w:t>الاتجاهات ،</w:t>
      </w:r>
      <w:proofErr w:type="gramEnd"/>
      <w:r>
        <w:rPr>
          <w:sz w:val="32"/>
          <w:szCs w:val="32"/>
          <w:rtl/>
          <w:lang w:bidi="ar-IQ"/>
        </w:rPr>
        <w:t xml:space="preserve"> فأنت ما أن تنظر إلى السماء حتى تراها ملبدة بالغيوم (رصاصية) ، إن اللون الرصاصي أقرب الألوان إلى السماء وهي ملبدة بالغيوم ، وحين تنظر شوارع المدينة تراها موحشة (كالمقبرة) ، فأوجز صورة السماء الغائمة ووحشة المدينة بصورة تشبيهية مؤثرة (المدينة ، كالمقبرة).</w:t>
      </w:r>
    </w:p>
    <w:p w:rsidR="009C5961" w:rsidRDefault="009C5961" w:rsidP="009C5961">
      <w:pPr>
        <w:pStyle w:val="a3"/>
        <w:spacing w:line="360" w:lineRule="auto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</w:t>
      </w:r>
      <w:r>
        <w:rPr>
          <w:sz w:val="32"/>
          <w:szCs w:val="32"/>
          <w:rtl/>
          <w:lang w:bidi="ar-IQ"/>
        </w:rPr>
        <w:t xml:space="preserve"> تتجسد هذه الكثافة التصويرية في إيراد معنى ملاصق في الصورتين اللتين تنبعثان من مصدرٍ </w:t>
      </w:r>
      <w:proofErr w:type="gramStart"/>
      <w:r>
        <w:rPr>
          <w:sz w:val="32"/>
          <w:szCs w:val="32"/>
          <w:rtl/>
          <w:lang w:bidi="ar-IQ"/>
        </w:rPr>
        <w:t>واحدٍ ،إنه</w:t>
      </w:r>
      <w:proofErr w:type="gramEnd"/>
      <w:r>
        <w:rPr>
          <w:sz w:val="32"/>
          <w:szCs w:val="32"/>
          <w:rtl/>
          <w:lang w:bidi="ar-IQ"/>
        </w:rPr>
        <w:t xml:space="preserve"> التصاق مباشر وعميق لجذور الحياة ، بل بوجود الحياة . </w:t>
      </w:r>
    </w:p>
    <w:p w:rsidR="009C5961" w:rsidRDefault="009C5961" w:rsidP="009C5961">
      <w:pPr>
        <w:pStyle w:val="a3"/>
        <w:spacing w:line="360" w:lineRule="auto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وفي نصٍ آخر يقوم الشاعر بطيّ الخطى نحو المدى المفتوح أمام أزمة لا </w:t>
      </w:r>
      <w:proofErr w:type="gramStart"/>
      <w:r>
        <w:rPr>
          <w:sz w:val="32"/>
          <w:szCs w:val="32"/>
          <w:rtl/>
          <w:lang w:bidi="ar-IQ"/>
        </w:rPr>
        <w:t>تنتهي ،</w:t>
      </w:r>
      <w:proofErr w:type="gramEnd"/>
      <w:r>
        <w:rPr>
          <w:sz w:val="32"/>
          <w:szCs w:val="32"/>
          <w:rtl/>
          <w:lang w:bidi="ar-IQ"/>
        </w:rPr>
        <w:t xml:space="preserve"> إلا بانقضاء العمر، ولا يتمكن من مغادرة الفضاء المنبثق من الأجنحة حتى حينما يعود إلى ذكرياته: </w:t>
      </w:r>
    </w:p>
    <w:p w:rsidR="009C5961" w:rsidRDefault="009C5961" w:rsidP="009C5961">
      <w:pPr>
        <w:pStyle w:val="a3"/>
        <w:spacing w:line="360" w:lineRule="auto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ما أنْ تُهُادِنني الرِّياحْ </w:t>
      </w:r>
    </w:p>
    <w:p w:rsidR="009C5961" w:rsidRDefault="009C5961" w:rsidP="009C5961">
      <w:pPr>
        <w:pStyle w:val="a3"/>
        <w:spacing w:line="360" w:lineRule="auto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حتى يَلوذَ كطائرٍ تَعبٍ أمَضتَّهُ الجِراح </w:t>
      </w:r>
    </w:p>
    <w:p w:rsidR="009C5961" w:rsidRDefault="009C5961" w:rsidP="009C5961">
      <w:pPr>
        <w:pStyle w:val="a3"/>
        <w:spacing w:line="360" w:lineRule="auto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قلبي بدفءِ الذكريات </w:t>
      </w:r>
    </w:p>
    <w:p w:rsidR="009C5961" w:rsidRDefault="009C5961" w:rsidP="009C5961">
      <w:pPr>
        <w:pStyle w:val="a3"/>
        <w:spacing w:line="360" w:lineRule="auto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فأراكِ مُقبلةً عليَّ كأنما حُجُبٌ تُزاحْ </w:t>
      </w:r>
    </w:p>
    <w:p w:rsidR="009C5961" w:rsidRDefault="009C5961" w:rsidP="009C5961">
      <w:pPr>
        <w:pStyle w:val="a3"/>
        <w:spacing w:line="360" w:lineRule="auto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وكأنَّ أنفاسَ الرَّبيع يَزفُّها ألقُ </w:t>
      </w:r>
      <w:proofErr w:type="gramStart"/>
      <w:r>
        <w:rPr>
          <w:sz w:val="32"/>
          <w:szCs w:val="32"/>
          <w:rtl/>
          <w:lang w:bidi="ar-IQ"/>
        </w:rPr>
        <w:t>الصباحْ !</w:t>
      </w:r>
      <w:proofErr w:type="gramEnd"/>
      <w:r>
        <w:rPr>
          <w:sz w:val="32"/>
          <w:szCs w:val="32"/>
          <w:rtl/>
          <w:lang w:bidi="ar-IQ"/>
        </w:rPr>
        <w:t>...</w:t>
      </w:r>
    </w:p>
    <w:p w:rsidR="009C5961" w:rsidRDefault="009C5961" w:rsidP="009C5961">
      <w:pPr>
        <w:pStyle w:val="a3"/>
        <w:spacing w:line="360" w:lineRule="auto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rtl/>
          <w:lang w:bidi="ar-IQ"/>
        </w:rPr>
        <w:t xml:space="preserve">هذه الصورة التشبيهية المركبة توضح مدى معاناة الشاعر وألمه الذي كابده في أثناء الهجرة ، فما زال البحر ، والطائر ملاذين حتميين في سفر النص ، تحت ضغط الذات ، إذ إن قلبه سفينة النجاة (المخرومة) التي تعاند كل ما تجود به الرياح ، فيكون له فسحة حين تهادنه هذه الرياح ، فيجر سفينته إلى شاطئ (دفء </w:t>
      </w:r>
      <w:r>
        <w:rPr>
          <w:sz w:val="32"/>
          <w:szCs w:val="32"/>
          <w:rtl/>
          <w:lang w:bidi="ar-IQ"/>
        </w:rPr>
        <w:lastRenderedPageBreak/>
        <w:t xml:space="preserve">الذكريات)، مشبهاً ذلك ب (طائرٍ تعب أمضته الجراح)، فهو حين يكون مرفرفاً بجناحيه يكون في الوقت نفسه مكبلاً بالتعب الذي هو نتاج(إمضاء الجراح به) ، وتبزغ صورة عن طريق ضبابية التعب ، فيراها مقبلةً عليه – أي الحبيبة- مستخدماً التشبيه لتصوير قدومها ب (إزاحة الحجب)، فبعد الإزاحة يكون أمام كشف حقيقي لأمان روحه ، ويكلل ذلك بصورة أخرى تعطي مدلولات اضافية لكشف الحجب ، فيقول : (وكأن أنفاس الربيع يزفها ألق الصباح) ، قد بث الحياة من خلال تنفس الصباح ، وأيّ تنفس ؟! إنه </w:t>
      </w:r>
      <w:proofErr w:type="gramStart"/>
      <w:r>
        <w:rPr>
          <w:sz w:val="32"/>
          <w:szCs w:val="32"/>
          <w:rtl/>
          <w:lang w:bidi="ar-IQ"/>
        </w:rPr>
        <w:t>النسيم ،</w:t>
      </w:r>
      <w:proofErr w:type="gramEnd"/>
      <w:r>
        <w:rPr>
          <w:sz w:val="32"/>
          <w:szCs w:val="32"/>
          <w:rtl/>
          <w:lang w:bidi="ar-IQ"/>
        </w:rPr>
        <w:t xml:space="preserve"> في هذه الصورة التشبيهية بث الشاعر أرقى مضامين الجمال في الحياة ، ثم عززها بصورة استعارية ، إذ تشابكت الخيوط الملونة في اللوحة بعد أن مزج التشبيه بالاستعارة .  </w:t>
      </w:r>
    </w:p>
    <w:p w:rsidR="00212E77" w:rsidRDefault="009C5961">
      <w:pPr>
        <w:rPr>
          <w:lang w:bidi="ar-IQ"/>
        </w:rPr>
      </w:pPr>
      <w:bookmarkStart w:id="0" w:name="_GoBack"/>
      <w:bookmarkEnd w:id="0"/>
    </w:p>
    <w:sectPr w:rsidR="00212E77" w:rsidSect="000811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B46DB"/>
    <w:multiLevelType w:val="hybridMultilevel"/>
    <w:tmpl w:val="FB42B514"/>
    <w:lvl w:ilvl="0" w:tplc="AFBC2DB6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EF1EAF"/>
    <w:multiLevelType w:val="hybridMultilevel"/>
    <w:tmpl w:val="0994F5DC"/>
    <w:lvl w:ilvl="0" w:tplc="901E69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0A"/>
    <w:rsid w:val="00081185"/>
    <w:rsid w:val="003162E8"/>
    <w:rsid w:val="00940E37"/>
    <w:rsid w:val="009C5961"/>
    <w:rsid w:val="00A1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B92F8B-B736-4A4A-9003-6ACCF948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E8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709</Words>
  <Characters>4042</Characters>
  <Application>Microsoft Office Word</Application>
  <DocSecurity>0</DocSecurity>
  <Lines>33</Lines>
  <Paragraphs>9</Paragraphs>
  <ScaleCrop>false</ScaleCrop>
  <Company>Microsoft (C)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2018-03-05T10:49:00Z</dcterms:created>
  <dcterms:modified xsi:type="dcterms:W3CDTF">2018-03-05T10:57:00Z</dcterms:modified>
</cp:coreProperties>
</file>