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D59E" w14:textId="77777777" w:rsidR="00912DD6" w:rsidRDefault="00912DD6" w:rsidP="00912DD6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uthmantn1light" w:hAnsi="uthmantn1light"/>
          <w:color w:val="333333"/>
          <w:sz w:val="30"/>
          <w:szCs w:val="30"/>
        </w:rPr>
      </w:pPr>
      <w:r>
        <w:rPr>
          <w:rStyle w:val="a4"/>
          <w:rFonts w:ascii="Traditional Arabic" w:hAnsi="Traditional Arabic" w:cs="Traditional Arabic" w:hint="cs"/>
          <w:color w:val="C00000"/>
          <w:sz w:val="40"/>
          <w:szCs w:val="40"/>
          <w:rtl/>
        </w:rPr>
        <w:t>أولًا: معنى آيات الأحكام:</w:t>
      </w:r>
    </w:p>
    <w:p w14:paraId="7F11FAD1" w14:textId="3BF8D242" w:rsidR="00912DD6" w:rsidRDefault="00912DD6" w:rsidP="00912DD6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uthmantn1light" w:hAnsi="uthmantn1light"/>
          <w:color w:val="333333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333333"/>
          <w:sz w:val="40"/>
          <w:szCs w:val="40"/>
          <w:rtl/>
        </w:rPr>
        <w:t>آيات الأحكام: هي الآيات التي تُعْنَى ببيان الأحكام الشرعية والدلالة عليها، سواء كانت الأحكام اعتقادية، أو عملية فرعية، أو سلوكية وأخلاقية.</w:t>
      </w:r>
    </w:p>
    <w:p w14:paraId="6FD01DC2" w14:textId="77777777" w:rsidR="00912DD6" w:rsidRDefault="00912DD6" w:rsidP="00912DD6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uthmantn1light" w:hAnsi="uthmantn1light"/>
          <w:color w:val="333333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333333"/>
          <w:sz w:val="40"/>
          <w:szCs w:val="40"/>
          <w:rtl/>
        </w:rPr>
        <w:t>إلاّ أن العلماء تعارفوا على إطلاق أحكام القرآن على أحكام القرآن العملية، الفرعية، المعروفة بالفقهية.</w:t>
      </w:r>
    </w:p>
    <w:p w14:paraId="1E1282CE" w14:textId="278BDF0E" w:rsidR="00912DD6" w:rsidRDefault="00912DD6" w:rsidP="00912DD6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uthmantn1light" w:hAnsi="uthmantn1light"/>
          <w:color w:val="333333"/>
          <w:sz w:val="30"/>
          <w:szCs w:val="30"/>
          <w:rtl/>
        </w:rPr>
      </w:pPr>
      <w:r>
        <w:rPr>
          <w:rStyle w:val="a4"/>
          <w:rFonts w:ascii="Traditional Arabic" w:hAnsi="Traditional Arabic" w:cs="Traditional Arabic" w:hint="cs"/>
          <w:color w:val="333333"/>
          <w:sz w:val="40"/>
          <w:szCs w:val="40"/>
          <w:rtl/>
        </w:rPr>
        <w:t>والمراد بآيات الأحكام -عند الإطلاق-:</w:t>
      </w:r>
      <w:r>
        <w:rPr>
          <w:rFonts w:ascii="Traditional Arabic" w:hAnsi="Traditional Arabic" w:cs="Traditional Arabic" w:hint="cs"/>
          <w:color w:val="333333"/>
          <w:sz w:val="40"/>
          <w:szCs w:val="40"/>
          <w:rtl/>
        </w:rPr>
        <w:t> «هي الآيات التي تُبَيِّن الأحكام الفقهية وتدلّ عليها نصًّا أو استنباطًا».</w:t>
      </w:r>
    </w:p>
    <w:p w14:paraId="4730DEE5" w14:textId="7B1D211A" w:rsidR="00912DD6" w:rsidRDefault="00912DD6" w:rsidP="00912DD6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uthmantn1light" w:hAnsi="uthmantn1light"/>
          <w:color w:val="333333"/>
          <w:sz w:val="30"/>
          <w:szCs w:val="30"/>
          <w:rtl/>
        </w:rPr>
      </w:pPr>
      <w:r>
        <w:rPr>
          <w:rStyle w:val="a4"/>
          <w:rFonts w:ascii="Traditional Arabic" w:hAnsi="Traditional Arabic" w:cs="Traditional Arabic" w:hint="cs"/>
          <w:color w:val="333333"/>
          <w:sz w:val="40"/>
          <w:szCs w:val="40"/>
          <w:rtl/>
        </w:rPr>
        <w:t>وتفاسير آيات الأحكام، أو التفسير الفقهي</w:t>
      </w:r>
      <w:r>
        <w:rPr>
          <w:rFonts w:ascii="Traditional Arabic" w:hAnsi="Traditional Arabic" w:cs="Traditional Arabic" w:hint="cs"/>
          <w:color w:val="333333"/>
          <w:sz w:val="40"/>
          <w:szCs w:val="40"/>
          <w:rtl/>
        </w:rPr>
        <w:t>: «هو التفسير الذي يُعْنَى ببيان الأحكام الفقهية، والتنبيه عليها، سواء بالاقتصار عليها، أو العناية الخاصّة بها».</w:t>
      </w:r>
    </w:p>
    <w:p w14:paraId="38E3CAAA" w14:textId="77777777" w:rsidR="00912DD6" w:rsidRDefault="00912DD6" w:rsidP="00912DD6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uthmantn1light" w:hAnsi="uthmantn1light"/>
          <w:color w:val="333333"/>
          <w:sz w:val="30"/>
          <w:szCs w:val="30"/>
          <w:rtl/>
        </w:rPr>
      </w:pPr>
      <w:r>
        <w:rPr>
          <w:rStyle w:val="a4"/>
          <w:rFonts w:ascii="Traditional Arabic" w:hAnsi="Traditional Arabic" w:cs="Traditional Arabic" w:hint="cs"/>
          <w:color w:val="C00000"/>
          <w:sz w:val="40"/>
          <w:szCs w:val="40"/>
          <w:rtl/>
        </w:rPr>
        <w:t>ثانيًا: عدد آيات الأحكام:</w:t>
      </w:r>
    </w:p>
    <w:p w14:paraId="15E29C93" w14:textId="77777777" w:rsidR="00912DD6" w:rsidRDefault="00912DD6" w:rsidP="00912DD6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uthmantn1light" w:hAnsi="uthmantn1light"/>
          <w:color w:val="333333"/>
          <w:sz w:val="30"/>
          <w:szCs w:val="30"/>
          <w:rtl/>
        </w:rPr>
      </w:pPr>
      <w:r>
        <w:rPr>
          <w:rStyle w:val="a4"/>
          <w:rFonts w:ascii="Traditional Arabic" w:hAnsi="Traditional Arabic" w:cs="Traditional Arabic" w:hint="cs"/>
          <w:color w:val="333333"/>
          <w:sz w:val="40"/>
          <w:szCs w:val="40"/>
          <w:rtl/>
        </w:rPr>
        <w:t>اختلف أهلُ العلم</w:t>
      </w:r>
      <w:r>
        <w:rPr>
          <w:rStyle w:val="a4"/>
          <w:rFonts w:ascii="Traditional Arabic" w:hAnsi="Traditional Arabic" w:cs="Traditional Arabic" w:hint="cs"/>
          <w:color w:val="333333"/>
          <w:sz w:val="22"/>
          <w:szCs w:val="22"/>
          <w:rtl/>
        </w:rPr>
        <w:t> </w:t>
      </w:r>
      <w:r>
        <w:rPr>
          <w:rStyle w:val="a4"/>
          <w:rFonts w:ascii="Traditional Arabic" w:hAnsi="Traditional Arabic" w:cs="Traditional Arabic" w:hint="cs"/>
          <w:color w:val="333333"/>
          <w:sz w:val="40"/>
          <w:szCs w:val="40"/>
          <w:rtl/>
        </w:rPr>
        <w:t>في كون آيات القرآن الدالّة على الأحكام الفقهية محدودة محصورة أم لا؟ على قولين:</w:t>
      </w:r>
    </w:p>
    <w:p w14:paraId="319D6B73" w14:textId="0CDC5107" w:rsidR="00912DD6" w:rsidRDefault="00912DD6" w:rsidP="00912DD6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uthmantn1light" w:hAnsi="uthmantn1light"/>
          <w:color w:val="333333"/>
          <w:sz w:val="30"/>
          <w:szCs w:val="30"/>
          <w:rtl/>
        </w:rPr>
      </w:pPr>
      <w:r>
        <w:rPr>
          <w:rStyle w:val="a4"/>
          <w:rFonts w:ascii="Traditional Arabic" w:hAnsi="Traditional Arabic" w:cs="Traditional Arabic" w:hint="cs"/>
          <w:color w:val="0070C0"/>
          <w:sz w:val="40"/>
          <w:szCs w:val="40"/>
          <w:rtl/>
        </w:rPr>
        <w:t>القول الأول: </w:t>
      </w:r>
      <w:r>
        <w:rPr>
          <w:rFonts w:ascii="Traditional Arabic" w:hAnsi="Traditional Arabic" w:cs="Traditional Arabic" w:hint="cs"/>
          <w:color w:val="333333"/>
          <w:sz w:val="40"/>
          <w:szCs w:val="40"/>
          <w:shd w:val="clear" w:color="auto" w:fill="FFFFFF"/>
          <w:rtl/>
        </w:rPr>
        <w:t>أن آيات الأحكام محدودة، محصورة بعدد معيّن، ثم اختلف هؤلاء في عددها:</w:t>
      </w:r>
    </w:p>
    <w:p w14:paraId="7F2FEF85" w14:textId="77777777" w:rsidR="00912DD6" w:rsidRDefault="00912DD6" w:rsidP="00912DD6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uthmantn1light" w:hAnsi="uthmantn1light"/>
          <w:color w:val="333333"/>
          <w:sz w:val="30"/>
          <w:szCs w:val="30"/>
          <w:rtl/>
        </w:rPr>
      </w:pPr>
      <w:r>
        <w:rPr>
          <w:rStyle w:val="a4"/>
          <w:rFonts w:ascii="Traditional Arabic" w:hAnsi="Traditional Arabic" w:cs="Traditional Arabic" w:hint="cs"/>
          <w:color w:val="333333"/>
          <w:sz w:val="40"/>
          <w:szCs w:val="40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333333"/>
          <w:sz w:val="40"/>
          <w:szCs w:val="40"/>
          <w:shd w:val="clear" w:color="auto" w:fill="FFFFFF"/>
          <w:rtl/>
        </w:rPr>
        <w:t> فقيل: هي خمسمائة آية.</w:t>
      </w:r>
    </w:p>
    <w:p w14:paraId="6D04ABDD" w14:textId="77777777" w:rsidR="00912DD6" w:rsidRDefault="00912DD6" w:rsidP="00912DD6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uthmantn1light" w:hAnsi="uthmantn1light"/>
          <w:color w:val="333333"/>
          <w:sz w:val="30"/>
          <w:szCs w:val="30"/>
          <w:rtl/>
        </w:rPr>
      </w:pPr>
      <w:r>
        <w:rPr>
          <w:rStyle w:val="a4"/>
          <w:rFonts w:ascii="Traditional Arabic" w:hAnsi="Traditional Arabic" w:cs="Traditional Arabic" w:hint="cs"/>
          <w:color w:val="333333"/>
          <w:sz w:val="40"/>
          <w:szCs w:val="40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333333"/>
          <w:sz w:val="40"/>
          <w:szCs w:val="40"/>
          <w:shd w:val="clear" w:color="auto" w:fill="FFFFFF"/>
          <w:rtl/>
        </w:rPr>
        <w:t> وقيل: بل مائتا آية فقط.</w:t>
      </w:r>
    </w:p>
    <w:p w14:paraId="67422283" w14:textId="77777777" w:rsidR="00912DD6" w:rsidRDefault="00912DD6" w:rsidP="00912DD6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uthmantn1light" w:hAnsi="uthmantn1light"/>
          <w:color w:val="333333"/>
          <w:sz w:val="30"/>
          <w:szCs w:val="30"/>
          <w:rtl/>
        </w:rPr>
      </w:pPr>
      <w:r>
        <w:rPr>
          <w:rStyle w:val="a4"/>
          <w:rFonts w:ascii="Traditional Arabic" w:hAnsi="Traditional Arabic" w:cs="Traditional Arabic" w:hint="cs"/>
          <w:color w:val="333333"/>
          <w:sz w:val="40"/>
          <w:szCs w:val="40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333333"/>
          <w:sz w:val="40"/>
          <w:szCs w:val="40"/>
          <w:shd w:val="clear" w:color="auto" w:fill="FFFFFF"/>
          <w:rtl/>
        </w:rPr>
        <w:t> وقيل: هي مائة وخمسون آية فقط.</w:t>
      </w:r>
    </w:p>
    <w:p w14:paraId="6F32E4B6" w14:textId="3FCC881D" w:rsidR="00912DD6" w:rsidRDefault="00912DD6" w:rsidP="00912DD6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uthmantn1light" w:hAnsi="uthmantn1light"/>
          <w:color w:val="333333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333333"/>
          <w:sz w:val="40"/>
          <w:szCs w:val="40"/>
          <w:rtl/>
        </w:rPr>
        <w:t>«</w:t>
      </w:r>
      <w:r>
        <w:rPr>
          <w:rFonts w:ascii="Traditional Arabic" w:hAnsi="Traditional Arabic" w:cs="Traditional Arabic" w:hint="cs"/>
          <w:color w:val="333333"/>
          <w:sz w:val="40"/>
          <w:szCs w:val="40"/>
          <w:shd w:val="clear" w:color="auto" w:fill="FFFFFF"/>
          <w:rtl/>
        </w:rPr>
        <w:t>ولعلّ مرادَهم المصرَّحُ به؛ فإن آيات القصص والأمثال وغيرها يُستنبط منها كثيرٌ من الأحكام</w:t>
      </w:r>
      <w:r>
        <w:rPr>
          <w:rFonts w:ascii="Traditional Arabic" w:hAnsi="Traditional Arabic" w:cs="Traditional Arabic" w:hint="cs"/>
          <w:color w:val="333333"/>
          <w:sz w:val="40"/>
          <w:szCs w:val="40"/>
          <w:rtl/>
        </w:rPr>
        <w:t>».</w:t>
      </w:r>
    </w:p>
    <w:p w14:paraId="51DB092B" w14:textId="2E9D10B7" w:rsidR="00A54D47" w:rsidRDefault="00912DD6" w:rsidP="00912DD6">
      <w:pPr>
        <w:pStyle w:val="a3"/>
        <w:shd w:val="clear" w:color="auto" w:fill="FFFFFF"/>
        <w:bidi/>
        <w:spacing w:before="0" w:beforeAutospacing="0" w:after="0" w:afterAutospacing="0"/>
        <w:jc w:val="both"/>
      </w:pPr>
      <w:r>
        <w:rPr>
          <w:rStyle w:val="a4"/>
          <w:rFonts w:ascii="Traditional Arabic" w:hAnsi="Traditional Arabic" w:cs="Traditional Arabic" w:hint="cs"/>
          <w:color w:val="0070C0"/>
          <w:sz w:val="40"/>
          <w:szCs w:val="40"/>
          <w:rtl/>
        </w:rPr>
        <w:t>القول الثاني: </w:t>
      </w:r>
      <w:r>
        <w:rPr>
          <w:rFonts w:ascii="Traditional Arabic" w:hAnsi="Traditional Arabic" w:cs="Traditional Arabic" w:hint="cs"/>
          <w:color w:val="333333"/>
          <w:sz w:val="40"/>
          <w:szCs w:val="40"/>
          <w:rtl/>
        </w:rPr>
        <w:t>أن آيات الأحكام غير محدودة العدد، فكلّ آية في القرآن قد يُستنبط منها حكمٌ معي</w:t>
      </w:r>
      <w:r>
        <w:rPr>
          <w:rFonts w:ascii="Traditional Arabic" w:hAnsi="Traditional Arabic" w:cs="Traditional Arabic" w:hint="cs"/>
          <w:color w:val="252C2F"/>
          <w:sz w:val="40"/>
          <w:szCs w:val="40"/>
          <w:shd w:val="clear" w:color="auto" w:fill="FFFFFF"/>
          <w:rtl/>
        </w:rPr>
        <w:t>ّ</w:t>
      </w:r>
      <w:r>
        <w:rPr>
          <w:rFonts w:ascii="Traditional Arabic" w:hAnsi="Traditional Arabic" w:cs="Traditional Arabic" w:hint="cs"/>
          <w:color w:val="333333"/>
          <w:sz w:val="40"/>
          <w:szCs w:val="40"/>
          <w:rtl/>
        </w:rPr>
        <w:t>نٌ، ومَرَدُ</w:t>
      </w:r>
      <w:r>
        <w:rPr>
          <w:rFonts w:ascii="Traditional Arabic" w:hAnsi="Traditional Arabic" w:cs="Traditional Arabic" w:hint="cs"/>
          <w:color w:val="252C2F"/>
          <w:sz w:val="40"/>
          <w:szCs w:val="40"/>
          <w:shd w:val="clear" w:color="auto" w:fill="FFFFFF"/>
          <w:rtl/>
        </w:rPr>
        <w:t>ّ</w:t>
      </w:r>
      <w:r>
        <w:rPr>
          <w:rFonts w:ascii="Traditional Arabic" w:hAnsi="Traditional Arabic" w:cs="Traditional Arabic" w:hint="cs"/>
          <w:color w:val="333333"/>
          <w:sz w:val="40"/>
          <w:szCs w:val="40"/>
          <w:rtl/>
        </w:rPr>
        <w:t> ذلك إلى ما يفتحه اللهُ على العالِم من معاني القرآن ودلالاته، وما يتميز به العالِم من صفاء الروح، وقوة الاستنباط، وجودة الذهن وسيلانه.</w:t>
      </w:r>
    </w:p>
    <w:sectPr w:rsidR="00A54D47" w:rsidSect="00EC6B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hmantn1light">
    <w:altName w:val="Cambria"/>
    <w:panose1 w:val="00000000000000000000"/>
    <w:charset w:val="00"/>
    <w:family w:val="roman"/>
    <w:notTrueType/>
    <w:pitch w:val="default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D6"/>
    <w:rsid w:val="00912DD6"/>
    <w:rsid w:val="00A54D47"/>
    <w:rsid w:val="00E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B044B4"/>
  <w15:chartTrackingRefBased/>
  <w15:docId w15:val="{2551AFB0-70A0-4AEB-B775-350D24D4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D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2DD6"/>
    <w:rPr>
      <w:b/>
      <w:bCs/>
    </w:rPr>
  </w:style>
  <w:style w:type="character" w:styleId="Hyperlink">
    <w:name w:val="Hyperlink"/>
    <w:basedOn w:val="a0"/>
    <w:uiPriority w:val="99"/>
    <w:semiHidden/>
    <w:unhideWhenUsed/>
    <w:rsid w:val="00912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2024-10-19T16:19:00Z</dcterms:created>
  <dcterms:modified xsi:type="dcterms:W3CDTF">2024-10-19T16:23:00Z</dcterms:modified>
</cp:coreProperties>
</file>