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E310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Notwithstanding the provisions set forth herein, the contracting parties reserve the right to terminate the agreement upon thirty days’ written notice.</w:t>
      </w:r>
    </w:p>
    <w:p w14:paraId="635DA065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Any dispute arising out of or in connection with this contract shall be settled through binding arbitration in accordance with internationally recognized procedural rules.</w:t>
      </w:r>
    </w:p>
    <w:p w14:paraId="19DF3CC1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failure of either party to enforce any provision of this agreement shall not constitute a waiver of future enforcement of that or any other provision.</w:t>
      </w:r>
    </w:p>
    <w:p w14:paraId="242A6778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Liability shall be limited to direct damages, excluding any incidental or consequential losses.</w:t>
      </w:r>
    </w:p>
    <w:p w14:paraId="09D038A5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claimant bears the burden of proof with respect to allegations of material breach.</w:t>
      </w:r>
    </w:p>
    <w:p w14:paraId="1419C173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This agreement shall enter into force upon ratification by the competent authorities of both states.</w:t>
      </w:r>
    </w:p>
    <w:p w14:paraId="3B1F1266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defendant, having been duly notified, failed to appear before the competent court.</w:t>
      </w:r>
    </w:p>
    <w:p w14:paraId="3211A0AE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Confidential information shall not be disclosed to third parties without prior written consent.</w:t>
      </w:r>
    </w:p>
    <w:p w14:paraId="694E13F1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provisions of this statute shall apply mutatis mutandis to subsidiary entities.</w:t>
      </w:r>
    </w:p>
    <w:p w14:paraId="735FF17E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court held that the regulation was ultra vires and therefore null and void.</w:t>
      </w:r>
    </w:p>
    <w:p w14:paraId="42C07306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Subject to applicable law, the employer reserves discretionary authority to amend workplace policies.</w:t>
      </w:r>
    </w:p>
    <w:p w14:paraId="6C097795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contract shall be governed by and construed in accordance with international commercial law principles.</w:t>
      </w:r>
    </w:p>
    <w:p w14:paraId="423D7721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Any amendment hereto shall be valid only if executed in writing and signed by authorized representatives.</w:t>
      </w:r>
    </w:p>
    <w:p w14:paraId="4B100B53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parties acknowledge that force majeure circumstances may impede performance obligations.</w:t>
      </w:r>
    </w:p>
    <w:p w14:paraId="418F3CEE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In the event of insolvency, creditors shall be entitled to proportional distribution of assets.</w:t>
      </w:r>
    </w:p>
    <w:p w14:paraId="2F213EC5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plaintiff seeks injunctive relief pending final adjudication.</w:t>
      </w:r>
    </w:p>
    <w:p w14:paraId="2971C9E9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Compliance with regulatory standards constitutes a prerequisite for operational licensing.</w:t>
      </w:r>
    </w:p>
    <w:p w14:paraId="0D5BA7EB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appellate court overturned the lower court’s ruling on procedural grounds.</w:t>
      </w:r>
    </w:p>
    <w:p w14:paraId="1045A5A9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jurisdiction clause confers exclusive authority upon the designated tribunal.</w:t>
      </w:r>
    </w:p>
    <w:p w14:paraId="5AF0FC37" w14:textId="77777777" w:rsidR="001C0FBA" w:rsidRPr="001C0FBA" w:rsidRDefault="001C0FBA" w:rsidP="001C0F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legislative framework aims to safeguard fundamental rights without prejudice to public order.</w:t>
      </w:r>
    </w:p>
    <w:p w14:paraId="6A08B02E" w14:textId="77777777" w:rsidR="001C0FBA" w:rsidRPr="001C0FBA" w:rsidRDefault="001C0FBA" w:rsidP="001C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pict w14:anchorId="2952851B">
          <v:rect id="_x0000_i1045" style="width:0;height:1.5pt" o:hralign="center" o:hrstd="t" o:hr="t" fillcolor="#a0a0a0" stroked="f"/>
        </w:pict>
      </w:r>
    </w:p>
    <w:p w14:paraId="6A5BCB9F" w14:textId="77777777" w:rsidR="001C0FBA" w:rsidRPr="001C0FBA" w:rsidRDefault="001C0FBA" w:rsidP="001C0F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0FBA">
        <w:rPr>
          <w:rFonts w:ascii="Segoe UI Emoji" w:eastAsia="Times New Roman" w:hAnsi="Segoe UI Emoji" w:cs="Segoe UI Emoji"/>
          <w:b/>
          <w:bCs/>
          <w:sz w:val="36"/>
          <w:szCs w:val="36"/>
        </w:rPr>
        <w:t>🔹</w:t>
      </w:r>
      <w:r w:rsidRPr="001C0F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Section II: Diplomatic &amp; Political Discourse (21–40)</w:t>
      </w:r>
    </w:p>
    <w:p w14:paraId="5E9F76B7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delegation reaffirmed its unwavering commitment to multilateral cooperation and peaceful dispute resolution.</w:t>
      </w:r>
    </w:p>
    <w:p w14:paraId="269A3029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resolution was adopted by consensus, reflecting broad international support.</w:t>
      </w:r>
    </w:p>
    <w:p w14:paraId="04365B08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minister emphasized that national sovereignty must be respected under international law.</w:t>
      </w:r>
    </w:p>
    <w:p w14:paraId="344EF5FC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Tensions escalated following allegations of cross-border incursions.</w:t>
      </w:r>
    </w:p>
    <w:p w14:paraId="543F813D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summit concluded with a joint communiqué outlining strategic priorities.</w:t>
      </w:r>
    </w:p>
    <w:p w14:paraId="234DDFF2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envoy underscored the urgency of de-escalating hostilities through dialogue.</w:t>
      </w:r>
    </w:p>
    <w:p w14:paraId="7D951822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administration categorically rejected claims of interference in domestic affairs.</w:t>
      </w:r>
    </w:p>
    <w:p w14:paraId="5BCBCCA8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Economic sanctions were imposed in response to violations of humanitarian norms.</w:t>
      </w:r>
    </w:p>
    <w:p w14:paraId="3477300F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lastRenderedPageBreak/>
        <w:t>The bilateral talks yielded incremental progress despite persistent disagreements.</w:t>
      </w:r>
    </w:p>
    <w:p w14:paraId="5B7B7FEC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memorandum of understanding establishes a framework for technical cooperation.</w:t>
      </w:r>
    </w:p>
    <w:p w14:paraId="2BE75DB9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peacekeeping mission operates under a mandate authorized by the Security Council.</w:t>
      </w:r>
    </w:p>
    <w:p w14:paraId="660345A4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Confidence-building measures are essential to restoring diplomatic trust.</w:t>
      </w:r>
    </w:p>
    <w:p w14:paraId="269390B4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coalition pledged logistical and financial assistance to affected regions.</w:t>
      </w:r>
    </w:p>
    <w:p w14:paraId="062300FE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Regional instability poses a threat to collective security.</w:t>
      </w:r>
    </w:p>
    <w:p w14:paraId="07E9BB36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ambassador conveyed his government’s profound concern regarding recent developments.</w:t>
      </w:r>
    </w:p>
    <w:p w14:paraId="2CBFBD2B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Negotiations resumed after a temporary ceasefire was brokered.</w:t>
      </w:r>
    </w:p>
    <w:p w14:paraId="52C8D716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foreign minister advocated a comprehensive approach to conflict resolution.</w:t>
      </w:r>
    </w:p>
    <w:p w14:paraId="7DF0573B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strategic partnership aims to enhance economic integration and regional resilience.</w:t>
      </w:r>
    </w:p>
    <w:p w14:paraId="084F7663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Diplomatic channels remain open despite escalating rhetoric.</w:t>
      </w:r>
    </w:p>
    <w:p w14:paraId="6B7D627E" w14:textId="77777777" w:rsidR="001C0FBA" w:rsidRPr="001C0FBA" w:rsidRDefault="001C0FBA" w:rsidP="001C0F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declaration reaffirmed adherence to international humanitarian law.</w:t>
      </w:r>
    </w:p>
    <w:p w14:paraId="44387442" w14:textId="77777777" w:rsidR="001C0FBA" w:rsidRPr="001C0FBA" w:rsidRDefault="001C0FBA" w:rsidP="001C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pict w14:anchorId="5DC9190D">
          <v:rect id="_x0000_i1046" style="width:0;height:1.5pt" o:hralign="center" o:hrstd="t" o:hr="t" fillcolor="#a0a0a0" stroked="f"/>
        </w:pict>
      </w:r>
    </w:p>
    <w:p w14:paraId="44D0E4D0" w14:textId="77777777" w:rsidR="001C0FBA" w:rsidRPr="001C0FBA" w:rsidRDefault="001C0FBA" w:rsidP="001C0F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0FBA">
        <w:rPr>
          <w:rFonts w:ascii="Segoe UI Emoji" w:eastAsia="Times New Roman" w:hAnsi="Segoe UI Emoji" w:cs="Segoe UI Emoji"/>
          <w:b/>
          <w:bCs/>
          <w:sz w:val="36"/>
          <w:szCs w:val="36"/>
        </w:rPr>
        <w:t>🔹</w:t>
      </w:r>
      <w:r w:rsidRPr="001C0F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Section III: United Nations &amp; International Reports Style (41–60)</w:t>
      </w:r>
    </w:p>
    <w:p w14:paraId="1CE6DB6D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Secretary-General expressed grave concern over the deteriorating humanitarian situation.</w:t>
      </w:r>
    </w:p>
    <w:p w14:paraId="5F7CB299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report highlights systemic challenges that hinder sustainable development.</w:t>
      </w:r>
    </w:p>
    <w:p w14:paraId="4DDC74CB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Efforts to mitigate climate change require coordinated global action.</w:t>
      </w:r>
    </w:p>
    <w:p w14:paraId="1D796817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agency calls upon member states to fulfill their financial commitments.</w:t>
      </w:r>
    </w:p>
    <w:p w14:paraId="559AF3C0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Human rights violations were documented in multiple regions.</w:t>
      </w:r>
    </w:p>
    <w:p w14:paraId="3485EBD6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framework seeks to promote gender equality and social inclusion.</w:t>
      </w:r>
    </w:p>
    <w:p w14:paraId="10B5377A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Armed conflict has displaced thousands of civilians.</w:t>
      </w:r>
    </w:p>
    <w:p w14:paraId="131E08C8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implementation phase remains contingent upon adequate funding.</w:t>
      </w:r>
    </w:p>
    <w:p w14:paraId="0243A2BF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Stakeholders are encouraged to engage in constructive dialogue.</w:t>
      </w:r>
    </w:p>
    <w:p w14:paraId="77C734CD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monitoring mechanism ensures transparency and accountability.</w:t>
      </w:r>
    </w:p>
    <w:p w14:paraId="30419E41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Capacity-building initiatives aim to strengthen institutional governance.</w:t>
      </w:r>
    </w:p>
    <w:p w14:paraId="6060DEE1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Food insecurity continues to exacerbate socioeconomic vulnerabilities.</w:t>
      </w:r>
    </w:p>
    <w:p w14:paraId="7F535193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Emergency relief operations were launched in response to the crisis.</w:t>
      </w:r>
    </w:p>
    <w:p w14:paraId="3A6D6D90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international community must act decisively to prevent further escalation.</w:t>
      </w:r>
    </w:p>
    <w:p w14:paraId="1310FC37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assessment mission identified critical infrastructure deficiencies.</w:t>
      </w:r>
    </w:p>
    <w:p w14:paraId="0DA887BA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Long-term stability depends on inclusive political processes.</w:t>
      </w:r>
    </w:p>
    <w:p w14:paraId="156B9176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draft resolution condemns acts of violence against civilians.</w:t>
      </w:r>
    </w:p>
    <w:p w14:paraId="5AB819C2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Technical assistance will be provided upon request.</w:t>
      </w:r>
    </w:p>
    <w:p w14:paraId="63C102AA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transitional arrangement requires sustained international support.</w:t>
      </w:r>
    </w:p>
    <w:p w14:paraId="7E900FC4" w14:textId="77777777" w:rsidR="001C0FBA" w:rsidRPr="001C0FBA" w:rsidRDefault="001C0FBA" w:rsidP="001C0F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FBA">
        <w:rPr>
          <w:rFonts w:ascii="Times New Roman" w:eastAsia="Times New Roman" w:hAnsi="Times New Roman" w:cs="Times New Roman"/>
          <w:sz w:val="24"/>
          <w:szCs w:val="24"/>
        </w:rPr>
        <w:t>The findings underscore the necessity of comprehensive reform measures.</w:t>
      </w:r>
    </w:p>
    <w:p w14:paraId="510A0494" w14:textId="77777777" w:rsidR="00DE4B8D" w:rsidRDefault="00DE4B8D"/>
    <w:sectPr w:rsidR="00DE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649"/>
    <w:multiLevelType w:val="multilevel"/>
    <w:tmpl w:val="FB78D1E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63518"/>
    <w:multiLevelType w:val="multilevel"/>
    <w:tmpl w:val="2EF0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47B9A"/>
    <w:multiLevelType w:val="multilevel"/>
    <w:tmpl w:val="199824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CF"/>
    <w:rsid w:val="001C0FBA"/>
    <w:rsid w:val="005E2BCF"/>
    <w:rsid w:val="00D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F147"/>
  <w15:chartTrackingRefBased/>
  <w15:docId w15:val="{3971E4F7-6632-4AD7-B1E8-EDF7CFDD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0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F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Dania</cp:lastModifiedBy>
  <cp:revision>2</cp:revision>
  <dcterms:created xsi:type="dcterms:W3CDTF">2026-03-01T06:34:00Z</dcterms:created>
  <dcterms:modified xsi:type="dcterms:W3CDTF">2026-03-01T06:36:00Z</dcterms:modified>
</cp:coreProperties>
</file>