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(6)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ينظمه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يوجهه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يراقبه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بمراحلها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مندمجة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منفصلة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تقرر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نتفادى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والمصاعب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تكتنف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واتمامه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توصيف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والتأثيرات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للفكر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يختص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بالفكر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تأديته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توسع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وتركيبها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مميزات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يستند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ومنطقيا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يختص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باحتياجات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والالتزامات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المترتبة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ويترتب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يفهمها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بذكاء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منطقية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منطقية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موضوعيته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الاثمار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) :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معقولة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الحوادث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ومتطلباتها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بالرغم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والاحصاء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المفروضة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الذهن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التناقص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التشغيلي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مرنة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تعديلها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وبسرعة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لتوافق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اشتراطات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يترتب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التعديلات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المحتملة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التعديلات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لخطر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نطاق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المنطقة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توقعها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بتوصيات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تتوازن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لتعديلات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جوهرية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السكانية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التكنولوجية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ويغرها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وبالرغم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المميزات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ويضاف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مقتربة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التفصيلات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تتميز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بالشمول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تتولاها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التفصيل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وظروفه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تقييد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خسارة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6-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خالية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الغموض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الوضوح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التفسيرات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الشفوية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البسيطة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تنقص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محتوياتها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والمؤثرات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وبأقل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صعوبات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7-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اقتصاديا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نفقاته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غالبات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الانفاق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مراحله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مقومات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الجوانب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مدروسة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اجمالها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الديمقراطية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التشريعية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المبالغ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الزراعي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مكافحة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الثروة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والاجنبية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والايدي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للتنفيذ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ومصادر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الثروة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يقتضيها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والاخصائيين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لانجازها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اعتبارهم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المتخصصين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الاستعانة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الخصوص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اولوية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اقتصاديا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تأثيره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خامسا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للتنفيذ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ابرز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ارتبطت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اوريش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تلخيص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متسمة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بالبساطة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</w:t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متوازنة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G8nIWuiyxKh/Kan9ftqSDAgKzQ==">CgMxLjA4AHIhMTFNSjdjN2pXX1pETGpJNWhzZUtsVUNKYUtQclFWNTZj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