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9" w:rsidRDefault="00E14DC9" w:rsidP="00E14DC9">
      <w:pPr>
        <w:tabs>
          <w:tab w:val="num" w:pos="1440"/>
        </w:tabs>
        <w:ind w:left="-334" w:right="-142"/>
        <w:jc w:val="center"/>
        <w:rPr>
          <w:rFonts w:cs="PT Bold Heading" w:hint="cs"/>
          <w:sz w:val="32"/>
          <w:szCs w:val="32"/>
          <w:rtl/>
        </w:rPr>
      </w:pPr>
      <w:r>
        <w:rPr>
          <w:rFonts w:cs="PT Bold Heading" w:hint="cs"/>
          <w:sz w:val="32"/>
          <w:szCs w:val="32"/>
          <w:rtl/>
        </w:rPr>
        <w:t>المحاضرة السادسة عشر</w:t>
      </w:r>
    </w:p>
    <w:p w:rsidR="00E14DC9" w:rsidRPr="00E14DC9" w:rsidRDefault="00E14DC9" w:rsidP="00E14DC9">
      <w:pPr>
        <w:tabs>
          <w:tab w:val="num" w:pos="1440"/>
        </w:tabs>
        <w:ind w:left="-334" w:right="-142"/>
        <w:jc w:val="center"/>
        <w:rPr>
          <w:rFonts w:cs="PT Bold Heading" w:hint="cs"/>
          <w:sz w:val="32"/>
          <w:szCs w:val="32"/>
          <w:rtl/>
        </w:rPr>
      </w:pPr>
      <w:r w:rsidRPr="00E14DC9">
        <w:rPr>
          <w:rFonts w:cs="PT Bold Heading" w:hint="cs"/>
          <w:sz w:val="32"/>
          <w:szCs w:val="32"/>
          <w:rtl/>
        </w:rPr>
        <w:t>أساليب الإدارة التي تطبق في التدريب الرياضي</w:t>
      </w:r>
    </w:p>
    <w:p w:rsidR="00E14DC9" w:rsidRPr="00E14DC9" w:rsidRDefault="00E14DC9" w:rsidP="00E14DC9">
      <w:pPr>
        <w:ind w:left="-154" w:right="-142" w:firstLine="456"/>
        <w:jc w:val="lowKashida"/>
        <w:rPr>
          <w:rFonts w:cs="Simplified Arabic"/>
          <w:b/>
          <w:bCs/>
          <w:sz w:val="32"/>
          <w:szCs w:val="32"/>
          <w:rtl/>
        </w:rPr>
      </w:pPr>
      <w:r w:rsidRPr="00E14DC9">
        <w:rPr>
          <w:rFonts w:cs="Simplified Arabic" w:hint="cs"/>
          <w:b/>
          <w:bCs/>
          <w:sz w:val="32"/>
          <w:szCs w:val="32"/>
          <w:rtl/>
        </w:rPr>
        <w:t xml:space="preserve">أصبحت الإدارة الرياضية أحدى العناصر المهمة التي يتأسس عليها الوصول الى المستويات العليا فالإدارة الرياضية الناجحة هي التي تحدد المسارات الواضحة للوصول الى أفضل المنجزات وهي التي تضع الضوابط الحاكمة لتكافؤ الفرص وعدالة </w:t>
      </w:r>
      <w:proofErr w:type="spellStart"/>
      <w:r w:rsidRPr="00E14DC9">
        <w:rPr>
          <w:rFonts w:cs="Simplified Arabic" w:hint="cs"/>
          <w:b/>
          <w:bCs/>
          <w:sz w:val="32"/>
          <w:szCs w:val="32"/>
          <w:rtl/>
        </w:rPr>
        <w:t>الإختيار</w:t>
      </w:r>
      <w:proofErr w:type="spellEnd"/>
      <w:r w:rsidRPr="00E14DC9">
        <w:rPr>
          <w:rFonts w:cs="Simplified Arabic" w:hint="cs"/>
          <w:b/>
          <w:bCs/>
          <w:sz w:val="32"/>
          <w:szCs w:val="32"/>
          <w:rtl/>
        </w:rPr>
        <w:t xml:space="preserve"> ، والمنافسة وباعتبار الانشطة الرياضية في ما بينها وتتنوع ، وغالباً ما يكون التنوع واسعاً في طبيعته لعدة من المسابقات لذا يفرض على الإدارة في مجالها نوعاً من الكفاية التي يجب أن يتمتع بها الإداري بحيث تجمع هذه الكفاية بين العلم والخبرة ، الى جانب دراسات التدريب ويجب أن يحتوي التدريب على بعض المعلومات لكيفية ممارسة الإدارة الحديثة.</w:t>
      </w:r>
    </w:p>
    <w:p w:rsidR="00E14DC9" w:rsidRPr="00E14DC9" w:rsidRDefault="00E14DC9" w:rsidP="00E14DC9">
      <w:pPr>
        <w:numPr>
          <w:ilvl w:val="1"/>
          <w:numId w:val="1"/>
        </w:numPr>
        <w:tabs>
          <w:tab w:val="clear" w:pos="1121"/>
          <w:tab w:val="num" w:pos="26"/>
        </w:tabs>
        <w:ind w:left="-154" w:right="-142"/>
        <w:jc w:val="lowKashida"/>
        <w:rPr>
          <w:rFonts w:cs="Simplified Arabic"/>
          <w:b/>
          <w:bCs/>
          <w:sz w:val="32"/>
          <w:szCs w:val="32"/>
          <w:rtl/>
        </w:rPr>
      </w:pPr>
      <w:r w:rsidRPr="00E14DC9">
        <w:rPr>
          <w:rFonts w:cs="PT Bold Heading" w:hint="cs"/>
          <w:sz w:val="32"/>
          <w:szCs w:val="32"/>
          <w:rtl/>
        </w:rPr>
        <w:t>الإدارة بالأهداف</w:t>
      </w:r>
      <w:r w:rsidRPr="00E14DC9">
        <w:rPr>
          <w:rFonts w:cs="Simplified Arabic" w:hint="cs"/>
          <w:b/>
          <w:bCs/>
          <w:sz w:val="32"/>
          <w:szCs w:val="32"/>
          <w:rtl/>
        </w:rPr>
        <w:t xml:space="preserve">: يحتاج العمل إلى أسلوب للإدارة يعطي مفهوماً كاملاً عن القوة الفردية والمسؤولية. وفي الوقت نفسه يعطي </w:t>
      </w:r>
      <w:proofErr w:type="spellStart"/>
      <w:r w:rsidRPr="00E14DC9">
        <w:rPr>
          <w:rFonts w:cs="Simplified Arabic" w:hint="cs"/>
          <w:b/>
          <w:bCs/>
          <w:sz w:val="32"/>
          <w:szCs w:val="32"/>
          <w:rtl/>
        </w:rPr>
        <w:t>ٱتجاهاً</w:t>
      </w:r>
      <w:proofErr w:type="spellEnd"/>
      <w:r w:rsidRPr="00E14DC9">
        <w:rPr>
          <w:rFonts w:cs="Simplified Arabic" w:hint="cs"/>
          <w:b/>
          <w:bCs/>
          <w:sz w:val="32"/>
          <w:szCs w:val="32"/>
          <w:rtl/>
        </w:rPr>
        <w:t xml:space="preserve"> عاماً للرؤية والجهد وكيفية تكوين فريق عمل وتنسيق أهداف الأفراد والرضاء العام. وقد يتكلم (بيتر </w:t>
      </w:r>
      <w:proofErr w:type="spellStart"/>
      <w:r w:rsidRPr="00E14DC9">
        <w:rPr>
          <w:rFonts w:cs="Simplified Arabic" w:hint="cs"/>
          <w:b/>
          <w:bCs/>
          <w:sz w:val="32"/>
          <w:szCs w:val="32"/>
          <w:rtl/>
        </w:rPr>
        <w:t>دراكر</w:t>
      </w:r>
      <w:proofErr w:type="spellEnd"/>
      <w:r w:rsidRPr="00E14DC9">
        <w:rPr>
          <w:rFonts w:cs="Simplified Arabic" w:hint="cs"/>
          <w:b/>
          <w:bCs/>
          <w:sz w:val="32"/>
          <w:szCs w:val="32"/>
          <w:rtl/>
        </w:rPr>
        <w:t xml:space="preserve">) هنا عن تدريب فريق من الرياضيين ، وهنا تتوافر المتطلبات نفسها </w:t>
      </w:r>
      <w:r w:rsidRPr="00E14DC9">
        <w:rPr>
          <w:rFonts w:cs="Simplified Arabic"/>
          <w:b/>
          <w:bCs/>
          <w:sz w:val="32"/>
          <w:szCs w:val="32"/>
          <w:rtl/>
        </w:rPr>
        <w:t>–</w:t>
      </w:r>
      <w:r w:rsidRPr="00E14DC9">
        <w:rPr>
          <w:rFonts w:cs="Simplified Arabic" w:hint="cs"/>
          <w:b/>
          <w:bCs/>
          <w:sz w:val="32"/>
          <w:szCs w:val="32"/>
          <w:rtl/>
        </w:rPr>
        <w:t xml:space="preserve"> القوة الفردية المسؤولية ، والجهد والرؤية المشتركة ، وتنسيق الأهداف والجهد لأعضاء الفريق ، ويمكن أن تكون الأهداف طويلة المدى التي من شانها </w:t>
      </w:r>
      <w:proofErr w:type="spellStart"/>
      <w:r w:rsidRPr="00E14DC9">
        <w:rPr>
          <w:rFonts w:cs="Simplified Arabic" w:hint="cs"/>
          <w:b/>
          <w:bCs/>
          <w:sz w:val="32"/>
          <w:szCs w:val="32"/>
          <w:rtl/>
        </w:rPr>
        <w:t>أستيفاء</w:t>
      </w:r>
      <w:proofErr w:type="spellEnd"/>
      <w:r w:rsidRPr="00E14DC9">
        <w:rPr>
          <w:rFonts w:cs="Simplified Arabic" w:hint="cs"/>
          <w:b/>
          <w:bCs/>
          <w:sz w:val="32"/>
          <w:szCs w:val="32"/>
          <w:rtl/>
        </w:rPr>
        <w:t xml:space="preserve"> تلك المهام (الأدوار) المذكورة ، وأهداف قصيرة المدى ، ولكن يجب أن يتفهمها الرياضيون ويوافقوا على </w:t>
      </w:r>
      <w:proofErr w:type="spellStart"/>
      <w:r w:rsidRPr="00E14DC9">
        <w:rPr>
          <w:rFonts w:cs="Simplified Arabic" w:hint="cs"/>
          <w:b/>
          <w:bCs/>
          <w:sz w:val="32"/>
          <w:szCs w:val="32"/>
          <w:rtl/>
        </w:rPr>
        <w:t>أمتلاك</w:t>
      </w:r>
      <w:proofErr w:type="spellEnd"/>
      <w:r w:rsidRPr="00E14DC9">
        <w:rPr>
          <w:rFonts w:cs="Simplified Arabic" w:hint="cs"/>
          <w:b/>
          <w:bCs/>
          <w:sz w:val="32"/>
          <w:szCs w:val="32"/>
          <w:rtl/>
        </w:rPr>
        <w:t xml:space="preserve"> تلك الأهداف (لذا تعد الإدارة بالأهداف نظاماً ديناميكياً يساعد على تنسيق الأهداف للرياضيين والمدربين تقدم طرائق تحقيق الأهداف وتطور الخطط فضلاً عن قياس الأداء </w:t>
      </w:r>
      <w:r w:rsidRPr="00E14DC9">
        <w:rPr>
          <w:rFonts w:cs="Simplified Arabic"/>
          <w:b/>
          <w:bCs/>
          <w:sz w:val="32"/>
          <w:szCs w:val="32"/>
          <w:rtl/>
        </w:rPr>
        <w:t>–</w:t>
      </w:r>
      <w:r w:rsidRPr="00E14DC9">
        <w:rPr>
          <w:rFonts w:cs="Simplified Arabic" w:hint="cs"/>
          <w:b/>
          <w:bCs/>
          <w:sz w:val="32"/>
          <w:szCs w:val="32"/>
          <w:rtl/>
        </w:rPr>
        <w:t xml:space="preserve"> مقارنة بالأهداف والتي تحدد فاعلية التدريب).</w:t>
      </w:r>
    </w:p>
    <w:p w:rsidR="00E14DC9" w:rsidRPr="00E14DC9" w:rsidRDefault="00E14DC9" w:rsidP="00E14DC9">
      <w:pPr>
        <w:numPr>
          <w:ilvl w:val="1"/>
          <w:numId w:val="1"/>
        </w:numPr>
        <w:tabs>
          <w:tab w:val="clear" w:pos="1121"/>
          <w:tab w:val="num" w:pos="-154"/>
        </w:tabs>
        <w:ind w:left="-154" w:right="-142"/>
        <w:jc w:val="lowKashida"/>
        <w:rPr>
          <w:rFonts w:cs="Simplified Arabic"/>
          <w:b/>
          <w:bCs/>
          <w:sz w:val="32"/>
          <w:szCs w:val="32"/>
          <w:rtl/>
        </w:rPr>
      </w:pPr>
      <w:r w:rsidRPr="00E14DC9">
        <w:rPr>
          <w:rFonts w:cs="PT Bold Heading" w:hint="cs"/>
          <w:sz w:val="32"/>
          <w:szCs w:val="32"/>
          <w:rtl/>
        </w:rPr>
        <w:t>الإدارة بالجودة الكلية(الشاملة)</w:t>
      </w:r>
      <w:r w:rsidRPr="00E14DC9">
        <w:rPr>
          <w:rFonts w:cs="Simplified Arabic" w:hint="cs"/>
          <w:b/>
          <w:bCs/>
          <w:sz w:val="32"/>
          <w:szCs w:val="32"/>
          <w:rtl/>
        </w:rPr>
        <w:t>: يوجد منهجان من إدارة الجودة الكلية ، يمكن تطبيقهما على التدريب هما:</w:t>
      </w:r>
    </w:p>
    <w:p w:rsidR="00E14DC9" w:rsidRPr="00E14DC9" w:rsidRDefault="00E14DC9" w:rsidP="00E14DC9">
      <w:pPr>
        <w:ind w:right="-142"/>
        <w:jc w:val="lowKashida"/>
        <w:rPr>
          <w:rFonts w:cs="Simplified Arabic"/>
          <w:b/>
          <w:bCs/>
          <w:sz w:val="32"/>
          <w:szCs w:val="32"/>
          <w:rtl/>
        </w:rPr>
      </w:pPr>
      <w:r w:rsidRPr="00E14DC9">
        <w:rPr>
          <w:rFonts w:cs="Simplified Arabic" w:hint="cs"/>
          <w:b/>
          <w:bCs/>
          <w:sz w:val="32"/>
          <w:szCs w:val="32"/>
          <w:rtl/>
        </w:rPr>
        <w:t>أ- التحسن المستمر.</w:t>
      </w:r>
    </w:p>
    <w:p w:rsidR="00E14DC9" w:rsidRPr="00E14DC9" w:rsidRDefault="00E14DC9" w:rsidP="00E14DC9">
      <w:pPr>
        <w:ind w:right="-142"/>
        <w:jc w:val="lowKashida"/>
        <w:rPr>
          <w:rFonts w:cs="Simplified Arabic"/>
          <w:b/>
          <w:bCs/>
          <w:sz w:val="32"/>
          <w:szCs w:val="32"/>
        </w:rPr>
      </w:pPr>
      <w:r w:rsidRPr="00E14DC9">
        <w:rPr>
          <w:rFonts w:cs="Simplified Arabic" w:hint="cs"/>
          <w:b/>
          <w:bCs/>
          <w:sz w:val="32"/>
          <w:szCs w:val="32"/>
          <w:rtl/>
        </w:rPr>
        <w:t>ب- تنوع الإحصائيات.</w:t>
      </w:r>
    </w:p>
    <w:p w:rsidR="00E14DC9" w:rsidRPr="00E14DC9" w:rsidRDefault="00E14DC9" w:rsidP="00E14DC9">
      <w:pPr>
        <w:ind w:left="-154" w:right="-142"/>
        <w:jc w:val="lowKashida"/>
        <w:rPr>
          <w:rFonts w:cs="Simplified Arabic"/>
          <w:b/>
          <w:bCs/>
          <w:sz w:val="32"/>
          <w:szCs w:val="32"/>
          <w:rtl/>
        </w:rPr>
      </w:pPr>
      <w:r w:rsidRPr="00E14DC9">
        <w:rPr>
          <w:rFonts w:cs="PT Bold Heading" w:hint="cs"/>
          <w:sz w:val="32"/>
          <w:szCs w:val="32"/>
          <w:rtl/>
        </w:rPr>
        <w:t>أ</w:t>
      </w:r>
      <w:r w:rsidRPr="00E14DC9">
        <w:rPr>
          <w:rFonts w:hint="cs"/>
          <w:sz w:val="32"/>
          <w:szCs w:val="32"/>
          <w:rtl/>
        </w:rPr>
        <w:t xml:space="preserve">- </w:t>
      </w:r>
      <w:r w:rsidRPr="00E14DC9">
        <w:rPr>
          <w:rFonts w:cs="PT Bold Heading" w:hint="cs"/>
          <w:sz w:val="32"/>
          <w:szCs w:val="32"/>
          <w:rtl/>
        </w:rPr>
        <w:t>التحسين المستمر</w:t>
      </w:r>
      <w:r w:rsidRPr="00E14DC9">
        <w:rPr>
          <w:rFonts w:cs="Simplified Arabic" w:hint="cs"/>
          <w:b/>
          <w:bCs/>
          <w:sz w:val="32"/>
          <w:szCs w:val="32"/>
          <w:rtl/>
        </w:rPr>
        <w:t xml:space="preserve">: ويمكن تطبيقه على العاب القوى وخاصة فيما يتعلق بالأسلوب فالأسلوب لا يصل الى الكمال مطلقاً إذ يترك </w:t>
      </w:r>
      <w:proofErr w:type="spellStart"/>
      <w:r w:rsidRPr="00E14DC9">
        <w:rPr>
          <w:rFonts w:cs="Simplified Arabic" w:hint="cs"/>
          <w:b/>
          <w:bCs/>
          <w:sz w:val="32"/>
          <w:szCs w:val="32"/>
          <w:rtl/>
        </w:rPr>
        <w:t>أحتمالاً</w:t>
      </w:r>
      <w:proofErr w:type="spellEnd"/>
      <w:r w:rsidRPr="00E14DC9">
        <w:rPr>
          <w:rFonts w:cs="Simplified Arabic" w:hint="cs"/>
          <w:b/>
          <w:bCs/>
          <w:sz w:val="32"/>
          <w:szCs w:val="32"/>
          <w:rtl/>
        </w:rPr>
        <w:t xml:space="preserve"> للتحسين المستمر ومع كل تحسن </w:t>
      </w:r>
      <w:r w:rsidRPr="00E14DC9">
        <w:rPr>
          <w:rFonts w:cs="Simplified Arabic" w:hint="cs"/>
          <w:b/>
          <w:bCs/>
          <w:sz w:val="32"/>
          <w:szCs w:val="32"/>
          <w:rtl/>
        </w:rPr>
        <w:lastRenderedPageBreak/>
        <w:t>للأسلوب يأتي تحسن الأداء قد يكون لكل منهما مدلول معين ولكن ككل يعدوا كمجموعة واحدة ، ويحدث ذلك إذا كان التحسن المستمر هو فلسفة ملزمة للرياضي والمدرب.</w:t>
      </w:r>
    </w:p>
    <w:p w:rsidR="00E14DC9" w:rsidRPr="00E14DC9" w:rsidRDefault="00E14DC9" w:rsidP="00E14DC9">
      <w:pPr>
        <w:ind w:left="-154" w:right="-142"/>
        <w:jc w:val="lowKashida"/>
        <w:rPr>
          <w:rFonts w:cs="Simplified Arabic"/>
          <w:b/>
          <w:bCs/>
          <w:sz w:val="32"/>
          <w:szCs w:val="32"/>
          <w:rtl/>
        </w:rPr>
      </w:pPr>
      <w:r w:rsidRPr="00E14DC9">
        <w:rPr>
          <w:rFonts w:cs="PT Bold Heading" w:hint="cs"/>
          <w:sz w:val="32"/>
          <w:szCs w:val="32"/>
          <w:rtl/>
        </w:rPr>
        <w:t>ب</w:t>
      </w:r>
      <w:r w:rsidRPr="00E14DC9">
        <w:rPr>
          <w:rFonts w:hint="cs"/>
          <w:sz w:val="32"/>
          <w:szCs w:val="32"/>
          <w:rtl/>
        </w:rPr>
        <w:t xml:space="preserve">- </w:t>
      </w:r>
      <w:r w:rsidRPr="00E14DC9">
        <w:rPr>
          <w:rFonts w:cs="PT Bold Heading" w:hint="cs"/>
          <w:sz w:val="32"/>
          <w:szCs w:val="32"/>
          <w:rtl/>
        </w:rPr>
        <w:t>تنوع الإحصائيات</w:t>
      </w:r>
      <w:r w:rsidRPr="00E14DC9">
        <w:rPr>
          <w:rFonts w:cs="Simplified Arabic" w:hint="cs"/>
          <w:b/>
          <w:bCs/>
          <w:sz w:val="32"/>
          <w:szCs w:val="32"/>
          <w:rtl/>
        </w:rPr>
        <w:t>: لا توجد إحصائية عملية أو أسلوب متكامل وأن النتيجة ستكون متنوعة. هذا صحيح بالنسبة للأسلوب (شخص الرياضي) وإنتاجه (أداء الرياضي) عند أية مرحلة من تنمية الرياضي فتحديد مدى الأداء ممكن ومناسب ،ولكن أسو ما فيه أنه لن يوضح التدهور أو التحسن في الشكل ، وعندما يدرك المدربون ذلك ، فسيعرفون أنهم لا يستطيعون الارتكاز على أحسن أداء للرياضي ولكن على مدى هذا الأداء. ويظهر التحسن بالتغير في معنى المدى ، ولكن عند مرحلة معينة ، وكلما ضاق المدى كلما كثرت ثقة الرياضي.</w:t>
      </w:r>
    </w:p>
    <w:p w:rsidR="00E14DC9" w:rsidRPr="00E14DC9" w:rsidRDefault="00E14DC9" w:rsidP="00E14DC9">
      <w:pPr>
        <w:ind w:left="-154" w:right="-142"/>
        <w:jc w:val="lowKashida"/>
        <w:rPr>
          <w:rFonts w:cs="PT Bold Heading"/>
          <w:sz w:val="32"/>
          <w:szCs w:val="32"/>
          <w:rtl/>
        </w:rPr>
      </w:pPr>
      <w:r w:rsidRPr="00E14DC9">
        <w:rPr>
          <w:rFonts w:cs="Simplified Arabic" w:hint="cs"/>
          <w:sz w:val="32"/>
          <w:szCs w:val="32"/>
          <w:rtl/>
          <w:lang w:bidi="ar-IQ"/>
        </w:rPr>
        <w:t xml:space="preserve"> </w:t>
      </w:r>
      <w:bookmarkStart w:id="0" w:name="_GoBack"/>
      <w:bookmarkEnd w:id="0"/>
      <w:r w:rsidRPr="00E14DC9">
        <w:rPr>
          <w:rFonts w:cs="Simplified Arabic" w:hint="cs"/>
          <w:sz w:val="32"/>
          <w:szCs w:val="32"/>
          <w:rtl/>
          <w:lang w:bidi="ar-IQ"/>
        </w:rPr>
        <w:t xml:space="preserve"> </w:t>
      </w:r>
      <w:r w:rsidRPr="00E14DC9">
        <w:rPr>
          <w:rFonts w:cs="PT Bold Heading" w:hint="cs"/>
          <w:sz w:val="32"/>
          <w:szCs w:val="32"/>
          <w:rtl/>
        </w:rPr>
        <w:t>الإدارة الرياضية بين العلم والفن:-</w:t>
      </w:r>
    </w:p>
    <w:p w:rsidR="00E14DC9" w:rsidRPr="00E14DC9" w:rsidRDefault="00E14DC9" w:rsidP="00E14DC9">
      <w:pPr>
        <w:ind w:left="-154" w:right="-142" w:firstLine="874"/>
        <w:jc w:val="lowKashida"/>
        <w:rPr>
          <w:rFonts w:cs="Simplified Arabic"/>
          <w:b/>
          <w:bCs/>
          <w:sz w:val="32"/>
          <w:szCs w:val="32"/>
          <w:rtl/>
        </w:rPr>
      </w:pPr>
      <w:r w:rsidRPr="00E14DC9">
        <w:rPr>
          <w:rFonts w:cs="Simplified Arabic" w:hint="cs"/>
          <w:b/>
          <w:bCs/>
          <w:sz w:val="32"/>
          <w:szCs w:val="32"/>
          <w:rtl/>
        </w:rPr>
        <w:t xml:space="preserve">الإدارة الرياضية مهنه كغيرها من المهن الأخرى تعتمد على العلم في وصف العلوم الإنسانية ، وذلك بين النظرية والتطبيق وهذا </w:t>
      </w:r>
      <w:proofErr w:type="spellStart"/>
      <w:r w:rsidRPr="00E14DC9">
        <w:rPr>
          <w:rFonts w:cs="Simplified Arabic" w:hint="cs"/>
          <w:b/>
          <w:bCs/>
          <w:sz w:val="32"/>
          <w:szCs w:val="32"/>
          <w:rtl/>
        </w:rPr>
        <w:t>مايعرف</w:t>
      </w:r>
      <w:proofErr w:type="spellEnd"/>
      <w:r w:rsidRPr="00E14DC9">
        <w:rPr>
          <w:rFonts w:cs="Simplified Arabic" w:hint="cs"/>
          <w:b/>
          <w:bCs/>
          <w:sz w:val="32"/>
          <w:szCs w:val="32"/>
          <w:rtl/>
        </w:rPr>
        <w:t xml:space="preserve"> بالعلم، ومازال استخدام الفروض فيها </w:t>
      </w:r>
      <w:proofErr w:type="spellStart"/>
      <w:r w:rsidRPr="00E14DC9">
        <w:rPr>
          <w:rFonts w:cs="Simplified Arabic" w:hint="cs"/>
          <w:b/>
          <w:bCs/>
          <w:sz w:val="32"/>
          <w:szCs w:val="32"/>
          <w:rtl/>
        </w:rPr>
        <w:t>وٱختيارها</w:t>
      </w:r>
      <w:proofErr w:type="spellEnd"/>
      <w:r w:rsidRPr="00E14DC9">
        <w:rPr>
          <w:rFonts w:cs="Simplified Arabic" w:hint="cs"/>
          <w:b/>
          <w:bCs/>
          <w:sz w:val="32"/>
          <w:szCs w:val="32"/>
          <w:rtl/>
        </w:rPr>
        <w:t xml:space="preserve"> هو الحل الوحيد لمحاولة الوصول لمثل هذه المبادئ ، أما في مجال الأداء البشري باختلاف إشكاله فإن </w:t>
      </w:r>
      <w:proofErr w:type="spellStart"/>
      <w:r w:rsidRPr="00E14DC9">
        <w:rPr>
          <w:rFonts w:cs="Simplified Arabic" w:hint="cs"/>
          <w:b/>
          <w:bCs/>
          <w:sz w:val="32"/>
          <w:szCs w:val="32"/>
          <w:rtl/>
        </w:rPr>
        <w:t>ماتحقق</w:t>
      </w:r>
      <w:proofErr w:type="spellEnd"/>
      <w:r w:rsidRPr="00E14DC9">
        <w:rPr>
          <w:rFonts w:cs="Simplified Arabic" w:hint="cs"/>
          <w:b/>
          <w:bCs/>
          <w:sz w:val="32"/>
          <w:szCs w:val="32"/>
          <w:rtl/>
        </w:rPr>
        <w:t xml:space="preserve"> أفضل أداء من خلال </w:t>
      </w:r>
      <w:proofErr w:type="spellStart"/>
      <w:r w:rsidRPr="00E14DC9">
        <w:rPr>
          <w:rFonts w:cs="Simplified Arabic" w:hint="cs"/>
          <w:b/>
          <w:bCs/>
          <w:sz w:val="32"/>
          <w:szCs w:val="32"/>
          <w:rtl/>
        </w:rPr>
        <w:t>إداره</w:t>
      </w:r>
      <w:proofErr w:type="spellEnd"/>
      <w:r w:rsidRPr="00E14DC9">
        <w:rPr>
          <w:rFonts w:cs="Simplified Arabic" w:hint="cs"/>
          <w:b/>
          <w:bCs/>
          <w:sz w:val="32"/>
          <w:szCs w:val="32"/>
          <w:rtl/>
        </w:rPr>
        <w:t xml:space="preserve"> ناجحة (فن) نلخص مما سبق بأن الإدارة كمهنة تعتمد في تكوينها الأساس </w:t>
      </w:r>
      <w:r w:rsidRPr="00E14DC9">
        <w:rPr>
          <w:rFonts w:cs="PT Bold Heading" w:hint="cs"/>
          <w:sz w:val="32"/>
          <w:szCs w:val="32"/>
          <w:rtl/>
        </w:rPr>
        <w:t>على جانبين رئيسين</w:t>
      </w:r>
      <w:r w:rsidRPr="00E14DC9">
        <w:rPr>
          <w:rFonts w:cs="Simplified Arabic" w:hint="cs"/>
          <w:b/>
          <w:bCs/>
          <w:sz w:val="32"/>
          <w:szCs w:val="32"/>
          <w:rtl/>
        </w:rPr>
        <w:t>:-</w:t>
      </w:r>
    </w:p>
    <w:p w:rsidR="00E14DC9" w:rsidRPr="00E14DC9" w:rsidRDefault="00E14DC9" w:rsidP="00E14DC9">
      <w:pPr>
        <w:ind w:left="926" w:right="-142" w:hanging="1080"/>
        <w:jc w:val="lowKashida"/>
        <w:rPr>
          <w:rFonts w:cs="Simplified Arabic"/>
          <w:b/>
          <w:bCs/>
          <w:sz w:val="32"/>
          <w:szCs w:val="32"/>
          <w:rtl/>
        </w:rPr>
      </w:pPr>
      <w:r w:rsidRPr="00E14DC9">
        <w:rPr>
          <w:rFonts w:cs="Simplified Arabic" w:hint="cs"/>
          <w:b/>
          <w:bCs/>
          <w:sz w:val="32"/>
          <w:szCs w:val="32"/>
          <w:rtl/>
        </w:rPr>
        <w:t xml:space="preserve">- </w:t>
      </w:r>
      <w:r w:rsidRPr="00E14DC9">
        <w:rPr>
          <w:rFonts w:cs="PT Bold Heading" w:hint="cs"/>
          <w:sz w:val="32"/>
          <w:szCs w:val="32"/>
          <w:rtl/>
        </w:rPr>
        <w:t>أولهما</w:t>
      </w:r>
      <w:r w:rsidRPr="00E14DC9">
        <w:rPr>
          <w:rFonts w:cs="Simplified Arabic" w:hint="cs"/>
          <w:b/>
          <w:bCs/>
          <w:sz w:val="32"/>
          <w:szCs w:val="32"/>
          <w:rtl/>
        </w:rPr>
        <w:t>: الجانب العلمي الذي يستقي مبادئه وأسسه من إفادات العلوم المختلفة كالعلوم الاجتماعية والإنسانية.</w:t>
      </w:r>
    </w:p>
    <w:p w:rsidR="00E14DC9" w:rsidRPr="00E14DC9" w:rsidRDefault="00E14DC9" w:rsidP="00E14DC9">
      <w:pPr>
        <w:ind w:left="926" w:right="-142" w:hanging="1080"/>
        <w:jc w:val="lowKashida"/>
        <w:rPr>
          <w:rFonts w:cs="Simplified Arabic"/>
          <w:b/>
          <w:bCs/>
          <w:sz w:val="32"/>
          <w:szCs w:val="32"/>
          <w:rtl/>
        </w:rPr>
      </w:pPr>
      <w:r w:rsidRPr="00E14DC9">
        <w:rPr>
          <w:rFonts w:cs="Simplified Arabic" w:hint="cs"/>
          <w:b/>
          <w:bCs/>
          <w:sz w:val="32"/>
          <w:szCs w:val="32"/>
          <w:rtl/>
        </w:rPr>
        <w:t xml:space="preserve">- </w:t>
      </w:r>
      <w:r w:rsidRPr="00E14DC9">
        <w:rPr>
          <w:rFonts w:cs="PT Bold Heading" w:hint="cs"/>
          <w:sz w:val="32"/>
          <w:szCs w:val="32"/>
          <w:rtl/>
        </w:rPr>
        <w:t>ثانيهما</w:t>
      </w:r>
      <w:r w:rsidRPr="00E14DC9">
        <w:rPr>
          <w:rFonts w:cs="Simplified Arabic" w:hint="cs"/>
          <w:b/>
          <w:bCs/>
          <w:sz w:val="32"/>
          <w:szCs w:val="32"/>
          <w:rtl/>
        </w:rPr>
        <w:t>: خبرة التطبيق التي تتطلب قدرات ومهارات خاصة يطلق عليها البعض الموهبة الإدارية.</w:t>
      </w:r>
    </w:p>
    <w:p w:rsidR="003F410C" w:rsidRPr="00E14DC9" w:rsidRDefault="003F410C">
      <w:pPr>
        <w:rPr>
          <w:sz w:val="32"/>
          <w:szCs w:val="32"/>
        </w:rPr>
      </w:pPr>
    </w:p>
    <w:sectPr w:rsidR="003F410C" w:rsidRPr="00E14DC9"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3F" w:rsidRDefault="0085373F" w:rsidP="00E14DC9">
      <w:r>
        <w:separator/>
      </w:r>
    </w:p>
  </w:endnote>
  <w:endnote w:type="continuationSeparator" w:id="0">
    <w:p w:rsidR="0085373F" w:rsidRDefault="0085373F" w:rsidP="00E1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4966736"/>
      <w:docPartObj>
        <w:docPartGallery w:val="Page Numbers (Bottom of Page)"/>
        <w:docPartUnique/>
      </w:docPartObj>
    </w:sdtPr>
    <w:sdtEndPr>
      <w:rPr>
        <w:sz w:val="32"/>
        <w:szCs w:val="32"/>
      </w:rPr>
    </w:sdtEndPr>
    <w:sdtContent>
      <w:p w:rsidR="00E14DC9" w:rsidRDefault="00E14DC9">
        <w:pPr>
          <w:pStyle w:val="a4"/>
          <w:jc w:val="center"/>
        </w:pPr>
        <w:r w:rsidRPr="00E14DC9">
          <w:rPr>
            <w:sz w:val="32"/>
            <w:szCs w:val="32"/>
          </w:rPr>
          <w:fldChar w:fldCharType="begin"/>
        </w:r>
        <w:r w:rsidRPr="00E14DC9">
          <w:rPr>
            <w:sz w:val="32"/>
            <w:szCs w:val="32"/>
          </w:rPr>
          <w:instrText>PAGE   \* MERGEFORMAT</w:instrText>
        </w:r>
        <w:r w:rsidRPr="00E14DC9">
          <w:rPr>
            <w:sz w:val="32"/>
            <w:szCs w:val="32"/>
          </w:rPr>
          <w:fldChar w:fldCharType="separate"/>
        </w:r>
        <w:r w:rsidRPr="00E14DC9">
          <w:rPr>
            <w:noProof/>
            <w:sz w:val="32"/>
            <w:szCs w:val="32"/>
            <w:rtl/>
            <w:lang w:val="ar-SA"/>
          </w:rPr>
          <w:t>2</w:t>
        </w:r>
        <w:r w:rsidRPr="00E14DC9">
          <w:rPr>
            <w:sz w:val="32"/>
            <w:szCs w:val="32"/>
          </w:rPr>
          <w:fldChar w:fldCharType="end"/>
        </w:r>
      </w:p>
    </w:sdtContent>
  </w:sdt>
  <w:p w:rsidR="00E14DC9" w:rsidRDefault="00E14D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3F" w:rsidRDefault="0085373F" w:rsidP="00E14DC9">
      <w:r>
        <w:separator/>
      </w:r>
    </w:p>
  </w:footnote>
  <w:footnote w:type="continuationSeparator" w:id="0">
    <w:p w:rsidR="0085373F" w:rsidRDefault="0085373F" w:rsidP="00E14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7050B"/>
    <w:multiLevelType w:val="hybridMultilevel"/>
    <w:tmpl w:val="B7C204D2"/>
    <w:lvl w:ilvl="0" w:tplc="01E050D2">
      <w:start w:val="1"/>
      <w:numFmt w:val="arabicAbjad"/>
      <w:lvlText w:val="%1-"/>
      <w:lvlJc w:val="center"/>
      <w:pPr>
        <w:tabs>
          <w:tab w:val="num" w:pos="386"/>
        </w:tabs>
        <w:ind w:left="386" w:hanging="360"/>
      </w:pPr>
      <w:rPr>
        <w:rFonts w:hint="default"/>
      </w:rPr>
    </w:lvl>
    <w:lvl w:ilvl="1" w:tplc="57EC8E7A">
      <w:start w:val="1"/>
      <w:numFmt w:val="decimal"/>
      <w:lvlText w:val="%2."/>
      <w:lvlJc w:val="left"/>
      <w:pPr>
        <w:tabs>
          <w:tab w:val="num" w:pos="1121"/>
        </w:tabs>
        <w:ind w:left="1121" w:hanging="375"/>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C9"/>
    <w:rsid w:val="003F410C"/>
    <w:rsid w:val="0085373F"/>
    <w:rsid w:val="009A0D57"/>
    <w:rsid w:val="00E14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C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DC9"/>
    <w:pPr>
      <w:tabs>
        <w:tab w:val="center" w:pos="4513"/>
        <w:tab w:val="right" w:pos="9026"/>
      </w:tabs>
    </w:pPr>
  </w:style>
  <w:style w:type="character" w:customStyle="1" w:styleId="Char">
    <w:name w:val="رأس الصفحة Char"/>
    <w:basedOn w:val="a0"/>
    <w:link w:val="a3"/>
    <w:uiPriority w:val="99"/>
    <w:rsid w:val="00E14DC9"/>
    <w:rPr>
      <w:rFonts w:ascii="Times New Roman" w:eastAsia="Times New Roman" w:hAnsi="Times New Roman" w:cs="Times New Roman"/>
      <w:sz w:val="24"/>
      <w:szCs w:val="24"/>
    </w:rPr>
  </w:style>
  <w:style w:type="paragraph" w:styleId="a4">
    <w:name w:val="footer"/>
    <w:basedOn w:val="a"/>
    <w:link w:val="Char0"/>
    <w:uiPriority w:val="99"/>
    <w:unhideWhenUsed/>
    <w:rsid w:val="00E14DC9"/>
    <w:pPr>
      <w:tabs>
        <w:tab w:val="center" w:pos="4513"/>
        <w:tab w:val="right" w:pos="9026"/>
      </w:tabs>
    </w:pPr>
  </w:style>
  <w:style w:type="character" w:customStyle="1" w:styleId="Char0">
    <w:name w:val="تذييل الصفحة Char"/>
    <w:basedOn w:val="a0"/>
    <w:link w:val="a4"/>
    <w:uiPriority w:val="99"/>
    <w:rsid w:val="00E14DC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C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DC9"/>
    <w:pPr>
      <w:tabs>
        <w:tab w:val="center" w:pos="4513"/>
        <w:tab w:val="right" w:pos="9026"/>
      </w:tabs>
    </w:pPr>
  </w:style>
  <w:style w:type="character" w:customStyle="1" w:styleId="Char">
    <w:name w:val="رأس الصفحة Char"/>
    <w:basedOn w:val="a0"/>
    <w:link w:val="a3"/>
    <w:uiPriority w:val="99"/>
    <w:rsid w:val="00E14DC9"/>
    <w:rPr>
      <w:rFonts w:ascii="Times New Roman" w:eastAsia="Times New Roman" w:hAnsi="Times New Roman" w:cs="Times New Roman"/>
      <w:sz w:val="24"/>
      <w:szCs w:val="24"/>
    </w:rPr>
  </w:style>
  <w:style w:type="paragraph" w:styleId="a4">
    <w:name w:val="footer"/>
    <w:basedOn w:val="a"/>
    <w:link w:val="Char0"/>
    <w:uiPriority w:val="99"/>
    <w:unhideWhenUsed/>
    <w:rsid w:val="00E14DC9"/>
    <w:pPr>
      <w:tabs>
        <w:tab w:val="center" w:pos="4513"/>
        <w:tab w:val="right" w:pos="9026"/>
      </w:tabs>
    </w:pPr>
  </w:style>
  <w:style w:type="character" w:customStyle="1" w:styleId="Char0">
    <w:name w:val="تذييل الصفحة Char"/>
    <w:basedOn w:val="a0"/>
    <w:link w:val="a4"/>
    <w:uiPriority w:val="99"/>
    <w:rsid w:val="00E14D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Company>SACC</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2024-09-10T17:07:00Z</dcterms:created>
  <dcterms:modified xsi:type="dcterms:W3CDTF">2024-09-10T17:08:00Z</dcterms:modified>
</cp:coreProperties>
</file>