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(7)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لمرونة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وادخال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مرونته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للتعديل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والمتغيرات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للتعديل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ادراك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الاحتفاظ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المحدودة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لمقابلة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ادخال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اختلفت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التعديلات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حرفيا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بغض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تعديلها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بتكلفة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معقولة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لمقابلة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بانشاء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ضخم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يستلزم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ارتباطات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وميزانية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يستهان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لاغراض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تعديله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بتكلفة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قليلة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وبسرعة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ووضعها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الطارئة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لخطر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احتياجات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الاوضاع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ويرتكز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المعطلة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استثمارها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تعالج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اسبابها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ونتائجها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يقترح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الحاسمة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والاجتماع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والاحصاء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والارشاد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كحاجته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والاخصائيين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وسنلخص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احتياجات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وتساعدنا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والاحصاءات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والبيانات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نستفيد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الامكانيات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والاحصاء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ويلزم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يعرفون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يستخدمون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الارقام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بعيدا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والاحصاءات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والتطبيقات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رابعا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الاحصاءات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والارقام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الاحصاءات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والتقارير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تعقدها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احصاءات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الصناعات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الاحصاءات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احصاءاته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بحوث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خامسا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الاحصاءات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تتمشى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احتياجات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المتوفرة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سادسا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البديلة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لتتفق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سابعا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المراجعة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والمتابعة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يستحيل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شابهها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للمسؤول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ينظمه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يواجهه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يراقبه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بمراحلها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مندمجة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يتعذر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  <w:br w:type="textWrapping"/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تقرر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تتفادى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والجهد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واتمامه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لمجرى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الزمنية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تعطيها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حيويا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الزاوية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الزمني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متوسط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قصير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يستغرق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تتراوح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15-20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تبرر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الفخمة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كسدود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الضخمة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التصنيع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الزراعة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شاملا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عشرين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لتعذر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تنبؤات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تفصيلا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خمسية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تفصيلا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يعالجها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والاقتصادي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الارتفاع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معيشة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المرتبة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المتوسط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المتوسط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يغطي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تتراوح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الخمسي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يستغرق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5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الغالب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المتوسط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الفقري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الاشتراكي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الطويلة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المتوسطة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الفصلية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الطويلة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شريحة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متوسطة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الخمسية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توزع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يتجدد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لانتظام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حسابات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الوحيدة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الخمسية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ومواجهتها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الخمسية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يترتب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برمتها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تدارك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الاضافية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بتعديل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متوسطة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6tfZW9u7Ntna+1dyrgFIwjweWg==">CgMxLjA4AHIhMUFTbDJwRjlmcTlzR2ZXSzZNQ1pvMlZPcWVHM3RhUWw1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