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(17)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والقائد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المفوضة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وظيفته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مفروضا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فيستمد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ويشعر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وتؤمن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شاعرة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شعورها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مستمدة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فتستمد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خوفا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العقاب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مفروض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ويهمه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صونا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لمركزة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الابقاء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اجزاء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بخطر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منصبة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واصدار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والتعليمات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اتمامها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الاطلاق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فشل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اضطر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المرؤوس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والموظفون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ايجاد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رؤسائهم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وغالبا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متعارضا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الفشل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توحيد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يتحلى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اشخاص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ورغبات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بحاجاتهم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ورغباتهم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بتوحيد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جهودهم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يتحلون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تربطهم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بمرؤوسهم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الصلاحية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للقيادة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صانعه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منفذ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راسم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منفذ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صلاحية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يتفهمه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بعمق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وبصيرة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نافذة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تجعله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قادرا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يحتاجها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يحتاجها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المتصفين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بالذكاء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وواضح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الجسمانية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والاخلاق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والطبائع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الموروثة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المكتسبة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فضلا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الموهبة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بسهولة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والمسلم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الشروط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توافر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يثيره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الخصوص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تساؤلهم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بفرع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المنوط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يرأسها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اشرنا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وزعت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10%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لواجباته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باعتبارها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يتمتع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واعدادهم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كقائد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تربوي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يدركها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المجموعات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الحسنة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والفعالة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المجموعات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لاحتوائه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مشكلات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متنوعة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التعقيد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تذليله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تخلصا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انعكاساته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سلبياته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منتسبي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يشترك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يبذلها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ضمانا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يسوده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والتوافق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وادراكه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تزداد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وتتحسن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واهتمامه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ضعفا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تهاونا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والمباريات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النقاش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الدائر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احترامه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والثقة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يحفز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اقتناعهم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حريص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يساعدهم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ويكسبهم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شعورا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اشتراكهم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والملاحظات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تولوا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التدريسية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وجعلها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الاحترام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الملقاة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عاتقه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يبديه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فعالية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زملائه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الاحترام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وادراك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دوافع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مصلحة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الرغبات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ومعاونة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اظهار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كفاءته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بالغطرسة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زملائه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يريدون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مقابلته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وعطاء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وبينهم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الرغبة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والقابلية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وقيادتهم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والمباريات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باعطاء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لهؤلاء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توزيع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رؤوساء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للصفوف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للفرق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الخارجي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يوزع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واستعداداتهم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ورغباتهم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يرغبون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ويمارسوه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بامتياز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يراقبهم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ومسؤولياتهم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واجباتهم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يسيرون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وتكاسل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المشجع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والدافع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بتطوير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والمهارات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والقدرات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تؤهله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وتجعله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عنصرا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فعالا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توطيد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افرادها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فائقة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وتشجيع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التعاوني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والمسؤوليات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ينسق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اعمالهم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تمهيدا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لتحسينه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جماهيرية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احتياجا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لتوفير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المؤهلة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وسلوكيا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وفكريا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واجتماعيا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وتزداد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تعاظم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شؤون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وقضايا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البارز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للشك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تأخرها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الوطن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تاريخها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قامت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نذروا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انفسهم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الطوعي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وحملوا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لواء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وجهدهم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فكانوا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روادا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طليعين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مهدوا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نشهده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عصرنا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انتهت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وانتقلت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تجاوز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مطلوبا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مزيدا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الشروط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والمواصفات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التقرير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انتقلت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وتعمقت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وتوسعت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واخذت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شمولا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