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(19)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والمصرفية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بالتطورات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صاحبتها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مماثلة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ومجالاته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واهميته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باتباع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الادخار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المواطن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المدخرات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نموها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رصيد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الثابت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تشييد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الآلات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المخزون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الصنع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المصنوعة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انتاجية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وحماية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الارباح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بالتخلي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تدفقات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المخاطرة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المرافقة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الثروة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المحافظة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الموجودات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نوعان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توظيف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بغض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بتوظيفها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مشاريع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وعملات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اجنبية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اجنبي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وتشتمل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المهاجرة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المستثمر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المضيفة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الخارجي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للاستثمارات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الاسواق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الاجنبية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المضيف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المستثمرين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عقارات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اجنبية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للبلد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صناديق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تستثمر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انحاء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ازدهار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والفوائد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استراتيجية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ترتكز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الاجيال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حيويا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النجاحات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اتجهت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فقادتها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الارباح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اهتمامات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اقتبست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الترفيهي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والهواية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وثيقة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الاستهلاكية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منتجا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شريكا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اللذان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تهتمان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اثبتت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عريضة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دخله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(20%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(50%)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العائلة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التجهيزات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والملابس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والصحف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والمجلات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وحضور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وترغبها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والانتعاش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مردودات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يستقطب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والمشجعين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الاجنبية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اموالها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واعطتها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وتربعت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الانفتاح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استقطاب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مقررات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الممارسين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للهوايات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مشجعي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ويتعدى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المستثمرة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يخفف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العبئ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الآلات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الاولمبية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والاتحاد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(1928)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صندوق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الفيفا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والمدعو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هيرش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بستة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فرنك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سويسري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مداخيل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مداخلي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يمنح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والبطولات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لاتحاداتها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للتمويل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لتخفيف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العبئ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الموازنات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جذب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المستثمرين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الارتباط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انتاجي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مبرمج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والارتقاء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المستثمرين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واستقطاب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واشراكه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والامكانية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وتبتكر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حاضر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الكوادر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والمتخصصة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اعتمدت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التمويل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اتخذتها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بالمنظومة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والمصانع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لابرام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والاتفاقيات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والتصنيع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ومساندة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المحافظة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والامتيازات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تبرم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المنبثقة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الامتيازات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بمشاركة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الامتيازات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تمنح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سيخفف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العبئ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ستمتلك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المطالبة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البطولات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وسيشجع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تأسيس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الايدي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البطالة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لليابان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المرتبة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الخامسة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ايطاليا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خيالية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اقتصادها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وربطها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الارباح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