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03" w:rsidRDefault="002F35FA" w:rsidP="002F35FA">
      <w:pPr>
        <w:bidi/>
        <w:rPr>
          <w:b/>
          <w:bCs/>
          <w:sz w:val="32"/>
          <w:szCs w:val="32"/>
          <w:rtl/>
          <w:lang w:bidi="ar-IQ"/>
        </w:rPr>
      </w:pPr>
      <w:r w:rsidRPr="002F35FA">
        <w:rPr>
          <w:rFonts w:hint="cs"/>
          <w:b/>
          <w:bCs/>
          <w:sz w:val="32"/>
          <w:szCs w:val="32"/>
          <w:rtl/>
          <w:lang w:bidi="ar-IQ"/>
        </w:rPr>
        <w:t>المحاضرة الثانية والعشرون: التربية الكشفية /</w:t>
      </w:r>
      <w:r>
        <w:rPr>
          <w:rFonts w:hint="cs"/>
          <w:b/>
          <w:bCs/>
          <w:sz w:val="32"/>
          <w:szCs w:val="32"/>
          <w:rtl/>
          <w:lang w:bidi="ar-IQ"/>
        </w:rPr>
        <w:t xml:space="preserve"> </w:t>
      </w:r>
      <w:proofErr w:type="spellStart"/>
      <w:r w:rsidRPr="002F35FA">
        <w:rPr>
          <w:rFonts w:hint="cs"/>
          <w:b/>
          <w:bCs/>
          <w:sz w:val="32"/>
          <w:szCs w:val="32"/>
          <w:rtl/>
          <w:lang w:bidi="ar-IQ"/>
        </w:rPr>
        <w:t>م.د</w:t>
      </w:r>
      <w:proofErr w:type="spellEnd"/>
      <w:r w:rsidRPr="002F35FA">
        <w:rPr>
          <w:rFonts w:hint="cs"/>
          <w:b/>
          <w:bCs/>
          <w:sz w:val="32"/>
          <w:szCs w:val="32"/>
          <w:rtl/>
          <w:lang w:bidi="ar-IQ"/>
        </w:rPr>
        <w:t>. سها درويش عبد الغفور</w:t>
      </w:r>
    </w:p>
    <w:p w:rsidR="002F35FA" w:rsidRPr="002F35FA" w:rsidRDefault="002F35FA" w:rsidP="002F35FA">
      <w:pPr>
        <w:bidi/>
        <w:spacing w:after="0" w:line="240" w:lineRule="auto"/>
        <w:rPr>
          <w:rFonts w:ascii="Simplified Arabic" w:eastAsia="Times New Roman" w:hAnsi="Simplified Arabic" w:cs="Simplified Arabic"/>
          <w:sz w:val="32"/>
          <w:szCs w:val="32"/>
          <w:rtl/>
        </w:rPr>
      </w:pPr>
      <w:r w:rsidRPr="002F35FA">
        <w:rPr>
          <w:rFonts w:ascii="Simplified Arabic" w:eastAsia="Times New Roman" w:hAnsi="Simplified Arabic" w:cs="Simplified Arabic" w:hint="cs"/>
          <w:b/>
          <w:bCs/>
          <w:color w:val="000000"/>
          <w:sz w:val="32"/>
          <w:szCs w:val="32"/>
          <w:rtl/>
        </w:rPr>
        <w:t>المخيم (</w:t>
      </w:r>
      <w:proofErr w:type="spellStart"/>
      <w:r w:rsidRPr="002F35FA">
        <w:rPr>
          <w:rFonts w:ascii="Simplified Arabic" w:eastAsia="Times New Roman" w:hAnsi="Simplified Arabic" w:cs="Simplified Arabic"/>
          <w:b/>
          <w:bCs/>
          <w:color w:val="000000"/>
          <w:sz w:val="32"/>
          <w:szCs w:val="32"/>
          <w:rtl/>
        </w:rPr>
        <w:t>الجامبوري</w:t>
      </w:r>
      <w:proofErr w:type="spellEnd"/>
      <w:proofErr w:type="gramStart"/>
      <w:r w:rsidRPr="002F35FA">
        <w:rPr>
          <w:rFonts w:ascii="Simplified Arabic" w:eastAsia="Times New Roman" w:hAnsi="Simplified Arabic" w:cs="Simplified Arabic" w:hint="cs"/>
          <w:b/>
          <w:bCs/>
          <w:color w:val="000000"/>
          <w:sz w:val="32"/>
          <w:szCs w:val="32"/>
          <w:rtl/>
        </w:rPr>
        <w:t xml:space="preserve">) </w:t>
      </w:r>
      <w:r w:rsidRPr="002F35FA">
        <w:rPr>
          <w:rFonts w:ascii="Simplified Arabic" w:eastAsia="Times New Roman" w:hAnsi="Simplified Arabic" w:cs="Simplified Arabic"/>
          <w:b/>
          <w:bCs/>
          <w:color w:val="000000"/>
          <w:sz w:val="32"/>
          <w:szCs w:val="32"/>
          <w:rtl/>
        </w:rPr>
        <w:t>:</w:t>
      </w:r>
      <w:proofErr w:type="gramEnd"/>
    </w:p>
    <w:p w:rsidR="002F35FA" w:rsidRPr="002F35FA" w:rsidRDefault="002F35FA" w:rsidP="002F35FA">
      <w:pPr>
        <w:bidi/>
        <w:spacing w:after="0" w:line="276" w:lineRule="auto"/>
        <w:jc w:val="both"/>
        <w:rPr>
          <w:rFonts w:ascii="Simplified Arabic" w:eastAsia="Times New Roman" w:hAnsi="Simplified Arabic" w:cs="Simplified Arabic"/>
          <w:color w:val="000000"/>
          <w:sz w:val="32"/>
          <w:szCs w:val="32"/>
          <w:rtl/>
        </w:rPr>
      </w:pPr>
      <w:r w:rsidRPr="002F35FA">
        <w:rPr>
          <w:rFonts w:ascii="Simplified Arabic" w:eastAsia="Times New Roman" w:hAnsi="Simplified Arabic" w:cs="Simplified Arabic"/>
          <w:color w:val="000000"/>
          <w:sz w:val="32"/>
          <w:szCs w:val="32"/>
          <w:rtl/>
        </w:rPr>
        <w:t xml:space="preserve">    يطلق هذا المصطلح على المخيمات الكبيرة التي تجمع أكبر عدد من الكشافين في مكان واحد سواء كانوا ينتمون إلى بلد واحد مثل التجمعات الوطنية، أو إقليم واحد مثل المخيم الكشفي العربي، أو كافة هيئات العالم مثل المخيم الكشفي العالمي.</w:t>
      </w:r>
      <w:r w:rsidRPr="002F35FA">
        <w:rPr>
          <w:rFonts w:ascii="Simplified Arabic" w:eastAsia="Times New Roman" w:hAnsi="Simplified Arabic" w:cs="Simplified Arabic" w:hint="cs"/>
          <w:color w:val="000000"/>
          <w:sz w:val="32"/>
          <w:szCs w:val="32"/>
          <w:rtl/>
        </w:rPr>
        <w:t xml:space="preserve"> ولأهمية هذا الموضوع سنتطرق إلية في الفصل الخامس بشكل مفصل.</w:t>
      </w:r>
    </w:p>
    <w:p w:rsidR="002F35FA" w:rsidRPr="002F35FA" w:rsidRDefault="002F35FA" w:rsidP="002F35FA">
      <w:pPr>
        <w:bidi/>
        <w:spacing w:after="0" w:line="240" w:lineRule="auto"/>
        <w:rPr>
          <w:rFonts w:ascii="Times New Roman" w:eastAsia="Times New Roman" w:hAnsi="Times New Roman" w:cs="Monotype Koufi"/>
          <w:b/>
          <w:bCs/>
          <w:noProof/>
          <w:sz w:val="32"/>
          <w:szCs w:val="32"/>
          <w:rtl/>
        </w:rPr>
      </w:pPr>
    </w:p>
    <w:p w:rsidR="002F35FA" w:rsidRPr="002F35FA" w:rsidRDefault="002F35FA" w:rsidP="002F35FA">
      <w:pPr>
        <w:bidi/>
        <w:spacing w:after="0" w:line="240" w:lineRule="auto"/>
        <w:rPr>
          <w:rFonts w:ascii="Times New Roman" w:eastAsia="Times New Roman" w:hAnsi="Times New Roman" w:cs="Monotype Koufi"/>
          <w:b/>
          <w:bCs/>
          <w:noProof/>
          <w:sz w:val="32"/>
          <w:szCs w:val="32"/>
          <w:rtl/>
        </w:rPr>
      </w:pPr>
    </w:p>
    <w:p w:rsidR="002F35FA" w:rsidRPr="002F35FA" w:rsidRDefault="002F35FA" w:rsidP="002F35FA">
      <w:pPr>
        <w:bidi/>
        <w:spacing w:after="0" w:line="240" w:lineRule="auto"/>
        <w:rPr>
          <w:rFonts w:asciiTheme="minorBidi" w:eastAsia="Times New Roman" w:hAnsiTheme="minorBidi"/>
          <w:b/>
          <w:bCs/>
          <w:noProof/>
          <w:sz w:val="32"/>
          <w:szCs w:val="32"/>
          <w:rtl/>
        </w:rPr>
      </w:pPr>
      <w:r w:rsidRPr="002F35FA">
        <w:rPr>
          <w:rFonts w:asciiTheme="minorBidi" w:eastAsia="Times New Roman" w:hAnsiTheme="minorBidi"/>
          <w:b/>
          <w:bCs/>
          <w:noProof/>
          <w:sz w:val="32"/>
          <w:szCs w:val="32"/>
          <w:rtl/>
        </w:rPr>
        <w:t>الاتصال:</w:t>
      </w:r>
    </w:p>
    <w:p w:rsidR="002F35FA" w:rsidRPr="002F35FA" w:rsidRDefault="002F35FA" w:rsidP="002F35FA">
      <w:pPr>
        <w:bidi/>
        <w:spacing w:after="0" w:line="240" w:lineRule="auto"/>
        <w:jc w:val="both"/>
        <w:rPr>
          <w:rFonts w:ascii="Simplified Arabic" w:eastAsia="Times New Roman" w:hAnsi="Simplified Arabic" w:cs="Simplified Arabic"/>
          <w:noProof/>
          <w:color w:val="000000"/>
          <w:sz w:val="32"/>
          <w:szCs w:val="32"/>
          <w:rtl/>
        </w:rPr>
      </w:pPr>
      <w:r w:rsidRPr="002F35FA">
        <w:rPr>
          <w:rFonts w:ascii="Simplified Arabic" w:eastAsia="Times New Roman" w:hAnsi="Simplified Arabic" w:cs="Simplified Arabic"/>
          <w:noProof/>
          <w:color w:val="000000"/>
          <w:sz w:val="32"/>
          <w:szCs w:val="32"/>
          <w:rtl/>
        </w:rPr>
        <w:t xml:space="preserve">     التخابر أحد الفنون الكشفية ووسيلة من وسائل الاتصال أثناء النشاط الكشفي، ويكون التخاطب كتابياً عن طريق الوسائل الواضحة، أو رمزياً عن طريق إشارات المورس أو السيمافور أو شفهياً عن طريق الهاتف أو سلكياً ولا سلكياً كالفاكس والتلكس، أو الانترنت، أو عن طريق اللمس المباشر باستعمال إشارات المورس أو أي إشارات أخرى مبتكرة</w:t>
      </w:r>
      <w:r w:rsidRPr="002F35FA">
        <w:rPr>
          <w:rFonts w:ascii="Simplified Arabic" w:eastAsia="Times New Roman" w:hAnsi="Simplified Arabic" w:cs="Simplified Arabic" w:hint="cs"/>
          <w:noProof/>
          <w:color w:val="000000"/>
          <w:sz w:val="32"/>
          <w:szCs w:val="32"/>
          <w:rtl/>
        </w:rPr>
        <w:t xml:space="preserve"> </w:t>
      </w:r>
      <w:bookmarkStart w:id="0" w:name="_GoBack"/>
      <w:bookmarkEnd w:id="0"/>
    </w:p>
    <w:p w:rsidR="002F35FA" w:rsidRPr="002F35FA" w:rsidRDefault="002F35FA" w:rsidP="002F35FA">
      <w:pPr>
        <w:bidi/>
        <w:spacing w:after="0" w:line="240" w:lineRule="auto"/>
        <w:rPr>
          <w:rFonts w:asciiTheme="minorBidi" w:eastAsia="Times New Roman" w:hAnsiTheme="minorBidi"/>
          <w:noProof/>
          <w:sz w:val="32"/>
          <w:szCs w:val="32"/>
          <w:rtl/>
        </w:rPr>
      </w:pPr>
      <w:r w:rsidRPr="002F35FA">
        <w:rPr>
          <w:rFonts w:asciiTheme="minorBidi" w:eastAsia="Times New Roman" w:hAnsiTheme="minorBidi"/>
          <w:b/>
          <w:bCs/>
          <w:noProof/>
          <w:sz w:val="32"/>
          <w:szCs w:val="32"/>
          <w:rtl/>
        </w:rPr>
        <w:t>الرياضة الصباحية</w:t>
      </w:r>
      <w:r w:rsidRPr="002F35FA">
        <w:rPr>
          <w:rFonts w:asciiTheme="minorBidi" w:eastAsia="Times New Roman" w:hAnsiTheme="minorBidi"/>
          <w:noProof/>
          <w:sz w:val="32"/>
          <w:szCs w:val="32"/>
          <w:rtl/>
        </w:rPr>
        <w:t>:</w:t>
      </w:r>
    </w:p>
    <w:p w:rsidR="002F35FA" w:rsidRPr="002F35FA" w:rsidRDefault="002F35FA" w:rsidP="002F35FA">
      <w:pPr>
        <w:bidi/>
        <w:spacing w:before="100" w:beforeAutospacing="1" w:after="100" w:afterAutospacing="1" w:line="240" w:lineRule="auto"/>
        <w:jc w:val="both"/>
        <w:outlineLvl w:val="0"/>
        <w:rPr>
          <w:rFonts w:ascii="Simplified Arabic" w:eastAsia="Times New Roman" w:hAnsi="Simplified Arabic" w:cs="Simplified Arabic"/>
          <w:kern w:val="36"/>
          <w:sz w:val="32"/>
          <w:szCs w:val="32"/>
          <w:rtl/>
        </w:rPr>
      </w:pPr>
      <w:r w:rsidRPr="002F35FA">
        <w:rPr>
          <w:rFonts w:ascii="Simplified Arabic" w:eastAsia="Times New Roman" w:hAnsi="Simplified Arabic" w:cs="Simplified Arabic" w:hint="cs"/>
          <w:kern w:val="36"/>
          <w:sz w:val="32"/>
          <w:szCs w:val="32"/>
          <w:rtl/>
        </w:rPr>
        <w:t xml:space="preserve">      </w:t>
      </w:r>
      <w:r w:rsidRPr="002F35FA">
        <w:rPr>
          <w:rFonts w:ascii="Simplified Arabic" w:eastAsia="Times New Roman" w:hAnsi="Simplified Arabic" w:cs="Simplified Arabic"/>
          <w:kern w:val="36"/>
          <w:sz w:val="32"/>
          <w:szCs w:val="32"/>
          <w:rtl/>
        </w:rPr>
        <w:t>من البرامج المهمة في الخلاء والمخيمات هي الرياضة الصباحية، والتي تمارس بعد النهوض من النوم، لاستقبال المنهاج اليومي بحيوية ونشاط بدني عالي تؤهلهم على تغلب الصعاب ضمن البرامج اليومية. وتعد الرياضة الصباحية من أمتع البرامج المخيمات يشعر بها الكشاف بسعادة وفرحة وهو يؤدي التمارين البدنية المختلفة. ويقوم بها القائد له الإلمام بالتمارين البدنية.</w:t>
      </w:r>
    </w:p>
    <w:p w:rsidR="002F35FA" w:rsidRPr="002F35FA" w:rsidRDefault="002F35FA" w:rsidP="002F35FA">
      <w:pPr>
        <w:bidi/>
        <w:rPr>
          <w:rFonts w:hint="cs"/>
          <w:b/>
          <w:bCs/>
          <w:sz w:val="32"/>
          <w:szCs w:val="32"/>
          <w:rtl/>
        </w:rPr>
      </w:pPr>
    </w:p>
    <w:sectPr w:rsidR="002F35FA" w:rsidRPr="002F3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FA"/>
    <w:rsid w:val="002F35FA"/>
    <w:rsid w:val="00AB4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DE5F"/>
  <w15:chartTrackingRefBased/>
  <w15:docId w15:val="{8E07F033-3957-49CC-838A-2DBEEC28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Company>Microsoft (C)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2024-09-15T19:40:00Z</dcterms:created>
  <dcterms:modified xsi:type="dcterms:W3CDTF">2024-09-15T19:44:00Z</dcterms:modified>
</cp:coreProperties>
</file>