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3F" w:rsidRDefault="00C5456E" w:rsidP="00C5456E">
      <w:pPr>
        <w:rPr>
          <w:rFonts w:hint="cs"/>
          <w:rtl/>
        </w:rPr>
      </w:pPr>
      <w:r w:rsidRPr="00C5456E">
        <w:rPr>
          <w:rtl/>
        </w:rPr>
        <w:drawing>
          <wp:inline distT="0" distB="0" distL="0" distR="0">
            <wp:extent cx="5274310" cy="2183589"/>
            <wp:effectExtent l="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3785652"/>
                      <a:chOff x="0" y="-34310"/>
                      <a:chExt cx="9144000" cy="3785652"/>
                    </a:xfrm>
                  </a:grpSpPr>
                  <a:sp>
                    <a:nvSpPr>
                      <a:cNvPr id="72705" name="Rectangle 1"/>
                      <a:cNvSpPr>
                        <a:spLocks noChangeArrowheads="1"/>
                      </a:cNvSpPr>
                    </a:nvSpPr>
                    <a:spPr bwMode="auto">
                      <a:xfrm>
                        <a:off x="0" y="-34310"/>
                        <a:ext cx="9144000" cy="3785652"/>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4000" b="1" i="0" u="none" strike="noStrike" cap="none" normalizeH="0" baseline="0" dirty="0" smtClean="0">
                              <a:ln>
                                <a:noFill/>
                              </a:ln>
                              <a:solidFill>
                                <a:schemeClr val="tx1"/>
                              </a:solidFill>
                              <a:effectLst/>
                              <a:latin typeface="Calibri" pitchFamily="34" charset="0"/>
                              <a:ea typeface="Calibri" pitchFamily="34" charset="0"/>
                              <a:cs typeface="Arial" pitchFamily="34" charset="0"/>
                            </a:rPr>
                            <a:t>Structure-Property Relationships</a:t>
                          </a:r>
                          <a:endParaRPr kumimoji="0" lang="en-US" sz="40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4000" b="0"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t>             The compounds  which  call  proteins exhibit a broad range of physical and biological properties. Two general categories of simple proteins are commonly recognized:</a:t>
                          </a:r>
                          <a:endParaRPr kumimoji="0" lang="en-US" sz="40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p w:rsidR="00C5456E" w:rsidRDefault="00C5456E" w:rsidP="00C5456E">
      <w:pPr>
        <w:rPr>
          <w:rFonts w:hint="cs"/>
          <w:rtl/>
        </w:rPr>
      </w:pPr>
    </w:p>
    <w:p w:rsidR="00C5456E" w:rsidRDefault="00C5456E" w:rsidP="00C5456E">
      <w:pPr>
        <w:rPr>
          <w:rFonts w:hint="cs"/>
          <w:rtl/>
        </w:rPr>
      </w:pPr>
      <w:r w:rsidRPr="00C5456E">
        <w:rPr>
          <w:rtl/>
        </w:rPr>
        <w:drawing>
          <wp:inline distT="0" distB="0" distL="0" distR="0">
            <wp:extent cx="5274310" cy="3248828"/>
            <wp:effectExtent l="0" t="0" r="0"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4816" cy="4524315"/>
                      <a:chOff x="611560" y="1268761"/>
                      <a:chExt cx="7344816" cy="4524315"/>
                    </a:xfrm>
                  </a:grpSpPr>
                  <a:sp>
                    <a:nvSpPr>
                      <a:cNvPr id="2" name="Rectangle 1"/>
                      <a:cNvSpPr/>
                    </a:nvSpPr>
                    <a:spPr>
                      <a:xfrm>
                        <a:off x="611560" y="1268761"/>
                        <a:ext cx="7344816" cy="4524315"/>
                      </a:xfrm>
                      <a:prstGeom prst="rect">
                        <a:avLst/>
                      </a:prstGeom>
                    </a:spPr>
                    <a:txSp>
                      <a:txBody>
                        <a:bodyPr wrap="square">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l"/>
                          <a:r>
                            <a:rPr lang="en-US" sz="3200" b="1" dirty="0" smtClean="0"/>
                            <a:t>Fibrous Proteins:</a:t>
                          </a:r>
                        </a:p>
                        <a:p>
                          <a:pPr algn="l"/>
                          <a:r>
                            <a:rPr lang="en-US" sz="3200" dirty="0" smtClean="0"/>
                            <a:t>       As the name implies, these substances have fiber-like structures, and serve as the chief serve as structural material in various tissues. Corresponding to this structural function, they are relatively insoluble in water and unaffected by moderate changes by  temperature  and </a:t>
                          </a:r>
                          <a:r>
                            <a:rPr lang="en-US" sz="3200" dirty="0" err="1" smtClean="0"/>
                            <a:t>pH</a:t>
                          </a:r>
                          <a:r>
                            <a:rPr lang="en-US" dirty="0" err="1" smtClean="0"/>
                            <a:t>.</a:t>
                          </a:r>
                          <a:r>
                            <a:rPr lang="en-US" dirty="0" smtClean="0"/>
                            <a:t> </a:t>
                          </a:r>
                          <a:r>
                            <a:rPr lang="en-US" sz="3200" dirty="0" smtClean="0"/>
                            <a:t>Subgroups within this category </a:t>
                          </a:r>
                          <a:r>
                            <a:rPr lang="en-US" sz="3200" dirty="0" err="1" smtClean="0"/>
                            <a:t>inclde</a:t>
                          </a:r>
                          <a:r>
                            <a:rPr lang="en-US" sz="3200" dirty="0" smtClean="0"/>
                            <a:t> : </a:t>
                          </a:r>
                          <a:endParaRPr lang="ar-IQ" sz="3200" dirty="0"/>
                        </a:p>
                      </a:txBody>
                      <a:useSpRect/>
                    </a:txSp>
                  </a:sp>
                </lc:lockedCanvas>
              </a:graphicData>
            </a:graphic>
          </wp:inline>
        </w:drawing>
      </w: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r w:rsidRPr="00C5456E">
        <w:rPr>
          <w:rtl/>
        </w:rPr>
        <w:lastRenderedPageBreak/>
        <w:drawing>
          <wp:inline distT="0" distB="0" distL="0" distR="0">
            <wp:extent cx="5274310" cy="3221358"/>
            <wp:effectExtent l="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026570"/>
                      <a:chOff x="914400" y="260648"/>
                      <a:chExt cx="8229600" cy="5026570"/>
                    </a:xfrm>
                  </a:grpSpPr>
                  <a:sp>
                    <a:nvSpPr>
                      <a:cNvPr id="2" name="Title 1"/>
                      <a:cNvSpPr>
                        <a:spLocks noGrp="1"/>
                      </a:cNvSpPr>
                    </a:nvSpPr>
                    <a:spPr>
                      <a:xfrm>
                        <a:off x="914400" y="260648"/>
                        <a:ext cx="8229600" cy="5026570"/>
                      </a:xfrm>
                      <a:prstGeom prst="rect">
                        <a:avLst/>
                      </a:prstGeom>
                    </a:spPr>
                    <a:txSp>
                      <a:txBody>
                        <a:bodyPr vert="horz" lIns="0" tIns="45720" rIns="0" bIns="0" anchor="b">
                          <a:normAutofit/>
                          <a:scene3d>
                            <a:camera prst="orthographicFront"/>
                            <a:lightRig rig="freezing" dir="t">
                              <a:rot lat="0" lon="0" rev="5640000"/>
                            </a:lightRig>
                          </a:scene3d>
                          <a:sp3d prstMaterial="flat">
                            <a:contourClr>
                              <a:schemeClr val="tx2"/>
                            </a:contourClr>
                          </a:sp3d>
                        </a:bodyPr>
                        <a:lstStyle>
                          <a:lvl1pPr algn="l" rtl="0" eaLnBrk="1" latinLnBrk="0" hangingPunct="1">
                            <a:spcBef>
                              <a:spcPct val="0"/>
                            </a:spcBef>
                            <a:buNone/>
                            <a:defRPr kumimoji="0" sz="5000" b="0" kern="1200">
                              <a:ln>
                                <a:noFill/>
                              </a:ln>
                              <a:solidFill>
                                <a:schemeClr val="tx2"/>
                              </a:solidFill>
                              <a:effectLst/>
                              <a:latin typeface="+mj-lt"/>
                              <a:ea typeface="+mj-ea"/>
                              <a:cs typeface="+mj-cs"/>
                            </a:defRPr>
                          </a:lvl1pPr>
                        </a:lstStyle>
                        <a:p>
                          <a:pPr algn="l"/>
                          <a:r>
                            <a:rPr lang="ar-IQ" sz="3600" b="1" dirty="0" smtClean="0"/>
                            <a:t>:</a:t>
                          </a:r>
                          <a:r>
                            <a:rPr lang="en-US" sz="3600" b="1" dirty="0" smtClean="0"/>
                            <a:t>1-Collagens&amp; </a:t>
                          </a:r>
                          <a:r>
                            <a:rPr lang="en-US" sz="3600" b="1" dirty="0" err="1" smtClean="0"/>
                            <a:t>Elastins</a:t>
                          </a:r>
                          <a:r>
                            <a:rPr lang="en-US" sz="3600" dirty="0" smtClean="0"/>
                            <a:t/>
                          </a:r>
                          <a:br>
                            <a:rPr lang="en-US" sz="3600" dirty="0" smtClean="0"/>
                          </a:br>
                          <a:r>
                            <a:rPr lang="en-US" sz="3600" dirty="0" smtClean="0"/>
                            <a:t>The proteins of connective </a:t>
                          </a:r>
                          <a:r>
                            <a:rPr lang="en-US" sz="3600" dirty="0" err="1" smtClean="0"/>
                            <a:t>tissues,tendonsand</a:t>
                          </a:r>
                          <a:r>
                            <a:rPr lang="en-US" sz="3600" dirty="0" smtClean="0"/>
                            <a:t>  ligaments.</a:t>
                          </a:r>
                          <a:br>
                            <a:rPr lang="en-US" sz="3600" dirty="0" smtClean="0"/>
                          </a:br>
                          <a:r>
                            <a:rPr lang="en-US" sz="3600" dirty="0" smtClean="0"/>
                            <a:t>    </a:t>
                          </a:r>
                          <a:r>
                            <a:rPr lang="en-US" sz="3600" b="1" dirty="0" smtClean="0"/>
                            <a:t>2-</a:t>
                          </a:r>
                          <a:r>
                            <a:rPr lang="en-US" sz="3600" dirty="0" smtClean="0"/>
                            <a:t>  </a:t>
                          </a:r>
                          <a:r>
                            <a:rPr lang="en-US" sz="3600" b="1" dirty="0" smtClean="0"/>
                            <a:t>Keratins</a:t>
                          </a:r>
                          <a:r>
                            <a:rPr lang="en-US" sz="3600" dirty="0" smtClean="0"/>
                            <a:t>:</a:t>
                          </a:r>
                          <a:br>
                            <a:rPr lang="en-US" sz="3600" dirty="0" smtClean="0"/>
                          </a:br>
                          <a:r>
                            <a:rPr lang="en-US" sz="3600" dirty="0" smtClean="0"/>
                            <a:t> Proteins that are major components of </a:t>
                          </a:r>
                          <a:r>
                            <a:rPr lang="en-US" sz="3600" dirty="0" err="1" smtClean="0"/>
                            <a:t>skin,hair,feathers</a:t>
                          </a:r>
                          <a:r>
                            <a:rPr lang="en-US" sz="3600" dirty="0" smtClean="0"/>
                            <a:t> and horn.</a:t>
                          </a:r>
                          <a:br>
                            <a:rPr lang="en-US" sz="3600" dirty="0" smtClean="0"/>
                          </a:br>
                          <a:r>
                            <a:rPr lang="en-US" sz="3600" dirty="0" smtClean="0"/>
                            <a:t>     </a:t>
                          </a:r>
                          <a:r>
                            <a:rPr lang="en-US" sz="3600" b="1" dirty="0" smtClean="0"/>
                            <a:t>3</a:t>
                          </a:r>
                          <a:r>
                            <a:rPr lang="en-US" sz="3600" dirty="0" smtClean="0"/>
                            <a:t>-  </a:t>
                          </a:r>
                          <a:r>
                            <a:rPr lang="en-US" sz="3600" b="1" dirty="0" smtClean="0"/>
                            <a:t>Fibrin</a:t>
                          </a:r>
                          <a:r>
                            <a:rPr lang="en-US" sz="3600" dirty="0" smtClean="0"/>
                            <a:t> :</a:t>
                          </a:r>
                          <a:br>
                            <a:rPr lang="en-US" sz="3600" dirty="0" smtClean="0"/>
                          </a:br>
                          <a:r>
                            <a:rPr lang="en-US" sz="3600" dirty="0" smtClean="0"/>
                            <a:t> A protein formed when blood clots.</a:t>
                          </a:r>
                          <a:endParaRPr lang="ar-IQ" sz="3600" dirty="0"/>
                        </a:p>
                      </a:txBody>
                      <a:useSpRect/>
                    </a:txSp>
                  </a:sp>
                </lc:lockedCanvas>
              </a:graphicData>
            </a:graphic>
          </wp:inline>
        </w:drawing>
      </w: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r w:rsidRPr="00C5456E">
        <w:rPr>
          <w:rtl/>
        </w:rPr>
        <w:drawing>
          <wp:inline distT="0" distB="0" distL="0" distR="0">
            <wp:extent cx="5274310" cy="3167638"/>
            <wp:effectExtent l="0" t="0" r="0" b="0"/>
            <wp:docPr id="12"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5016758"/>
                      <a:chOff x="323528" y="1124745"/>
                      <a:chExt cx="8352928" cy="5016758"/>
                    </a:xfrm>
                  </a:grpSpPr>
                  <a:sp>
                    <a:nvSpPr>
                      <a:cNvPr id="2" name="Rectangle 1"/>
                      <a:cNvSpPr/>
                    </a:nvSpPr>
                    <a:spPr>
                      <a:xfrm>
                        <a:off x="323528" y="1124745"/>
                        <a:ext cx="8352928" cy="5016758"/>
                      </a:xfrm>
                      <a:prstGeom prst="rect">
                        <a:avLst/>
                      </a:prstGeom>
                    </a:spPr>
                    <a:txSp>
                      <a:txBody>
                        <a:bodyPr wrap="square">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l"/>
                          <a:r>
                            <a:rPr lang="en-US" sz="3200" b="1" dirty="0" smtClean="0"/>
                            <a:t>Globular Proteins </a:t>
                          </a:r>
                          <a:r>
                            <a:rPr lang="en-US" sz="3200" dirty="0" smtClean="0"/>
                            <a:t>:</a:t>
                          </a:r>
                        </a:p>
                        <a:p>
                          <a:pPr algn="l"/>
                          <a:r>
                            <a:rPr lang="en-US" sz="3200" dirty="0" smtClean="0"/>
                            <a:t>Members of this class serve </a:t>
                          </a:r>
                          <a:r>
                            <a:rPr lang="en-US" sz="3200" dirty="0" err="1" smtClean="0"/>
                            <a:t>regulatory,maintenance</a:t>
                          </a:r>
                          <a:r>
                            <a:rPr lang="en-US" sz="3200" dirty="0" smtClean="0"/>
                            <a:t> and catalytic roles in living organisms. </a:t>
                          </a:r>
                          <a:br>
                            <a:rPr lang="en-US" sz="3200" dirty="0" smtClean="0"/>
                          </a:br>
                          <a:r>
                            <a:rPr lang="en-US" sz="3200" dirty="0" smtClean="0"/>
                            <a:t>in living organisms. They </a:t>
                          </a:r>
                          <a:r>
                            <a:rPr lang="en-US" sz="3200" b="1" dirty="0" smtClean="0"/>
                            <a:t>include hormones, antibodies and enzymes.</a:t>
                          </a:r>
                          <a:r>
                            <a:rPr lang="en-US" sz="3200" dirty="0" smtClean="0"/>
                            <a:t> and either dissolve or form colloidal suspensions in water. </a:t>
                          </a:r>
                          <a:br>
                            <a:rPr lang="en-US" sz="3200" dirty="0" smtClean="0"/>
                          </a:br>
                          <a:r>
                            <a:rPr lang="en-US" sz="3200" dirty="0" smtClean="0"/>
                            <a:t>Such proteins are generally more sensitive to temperature and   pH  change  than their  fibrous </a:t>
                          </a:r>
                          <a:r>
                            <a:rPr lang="ar-IQ" sz="3200" dirty="0" smtClean="0"/>
                            <a:t> </a:t>
                          </a:r>
                          <a:r>
                            <a:rPr lang="en-US" sz="3200" dirty="0" smtClean="0"/>
                            <a:t>  counterparts</a:t>
                          </a:r>
                          <a:endParaRPr lang="ar-IQ" sz="3200" dirty="0"/>
                        </a:p>
                      </a:txBody>
                      <a:useSpRect/>
                    </a:txSp>
                  </a:sp>
                </lc:lockedCanvas>
              </a:graphicData>
            </a:graphic>
          </wp:inline>
        </w:drawing>
      </w: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r w:rsidRPr="00C5456E">
        <w:rPr>
          <w:rtl/>
        </w:rPr>
        <w:lastRenderedPageBreak/>
        <w:drawing>
          <wp:inline distT="0" distB="0" distL="0" distR="0">
            <wp:extent cx="5274310" cy="4029597"/>
            <wp:effectExtent l="0" t="0" r="0" b="0"/>
            <wp:docPr id="13"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986528"/>
                      <a:chOff x="0" y="379552"/>
                      <a:chExt cx="9144000" cy="6986528"/>
                    </a:xfrm>
                  </a:grpSpPr>
                  <a:sp>
                    <a:nvSpPr>
                      <a:cNvPr id="82945" name="Rectangle 1"/>
                      <a:cNvSpPr>
                        <a:spLocks noChangeArrowheads="1"/>
                      </a:cNvSpPr>
                    </a:nvSpPr>
                    <a:spPr bwMode="auto">
                      <a:xfrm>
                        <a:off x="0" y="379552"/>
                        <a:ext cx="9144000" cy="6986528"/>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3200" b="1"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t>       The seven illustrations shown below identify a set of peptides and </a:t>
                          </a:r>
                          <a:r>
                            <a:rPr kumimoji="0" lang="en-US" sz="3200" b="1" i="0" u="none" strike="noStrike" cap="none" normalizeH="0" baseline="0" dirty="0" err="1" smtClean="0">
                              <a:ln>
                                <a:noFill/>
                              </a:ln>
                              <a:solidFill>
                                <a:schemeClr val="tx1"/>
                              </a:solidFill>
                              <a:effectLst/>
                              <a:latin typeface="Calibri" pitchFamily="34" charset="0"/>
                              <a:ea typeface="Times New Roman" pitchFamily="18" charset="0"/>
                              <a:cs typeface="Arial" pitchFamily="34" charset="0"/>
                            </a:rPr>
                            <a:t>proteinsEndothelin</a:t>
                          </a:r>
                          <a:r>
                            <a:rPr kumimoji="0" lang="en-US" sz="3200" b="1"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t> &amp; </a:t>
                          </a:r>
                          <a:r>
                            <a:rPr kumimoji="0" lang="en-US" sz="3200" b="1" i="0" u="none" strike="noStrike" cap="none" normalizeH="0" baseline="0" dirty="0" err="1" smtClean="0">
                              <a:ln>
                                <a:noFill/>
                              </a:ln>
                              <a:solidFill>
                                <a:schemeClr val="tx1"/>
                              </a:solidFill>
                              <a:effectLst/>
                              <a:latin typeface="Calibri" pitchFamily="34" charset="0"/>
                              <a:ea typeface="Times New Roman" pitchFamily="18" charset="0"/>
                              <a:cs typeface="Arial" pitchFamily="34" charset="0"/>
                            </a:rPr>
                            <a:t>Angiogenin</a:t>
                          </a:r>
                          <a:r>
                            <a:rPr kumimoji="0" lang="en-US" sz="3200" b="0"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t> are small peptides that have important and selective physiological properties.</a:t>
                          </a:r>
                          <a:br>
                            <a:rPr kumimoji="0" lang="en-US" sz="3200" b="0"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br>
                          <a:r>
                            <a:rPr kumimoji="0" lang="en-US" sz="3200" b="0"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t/>
                          </a:r>
                          <a:br>
                            <a:rPr kumimoji="0" lang="en-US" sz="3200" b="0" i="0" u="none" strike="noStrike" cap="none" normalizeH="0" baseline="0" dirty="0" smtClean="0">
                              <a:ln>
                                <a:noFill/>
                              </a:ln>
                              <a:solidFill>
                                <a:schemeClr val="tx1"/>
                              </a:solidFill>
                              <a:effectLst/>
                              <a:latin typeface="Calibri" pitchFamily="34" charset="0"/>
                              <a:ea typeface="Times New Roman" pitchFamily="18" charset="0"/>
                              <a:cs typeface="Arial" pitchFamily="34" charset="0"/>
                            </a:rPr>
                          </a:br>
                          <a:endParaRPr kumimoji="0" lang="en-US" sz="3200" b="1" i="0" u="none" strike="noStrike" cap="none" normalizeH="0" baseline="0" dirty="0" smtClean="0">
                            <a:ln>
                              <a:noFill/>
                            </a:ln>
                            <a:solidFill>
                              <a:schemeClr val="tx1"/>
                            </a:solidFill>
                            <a:effectLst/>
                            <a:latin typeface="Arial" pitchFamily="34" charset="0"/>
                            <a:ea typeface="Times New Roman" pitchFamily="18"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3200" b="1"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1- </a:t>
                          </a:r>
                          <a:r>
                            <a:rPr kumimoji="0" lang="en-US" sz="3200" b="1" i="0" u="none" strike="noStrike" cap="none" normalizeH="0" baseline="0" dirty="0" err="1" smtClean="0">
                              <a:ln>
                                <a:noFill/>
                              </a:ln>
                              <a:solidFill>
                                <a:schemeClr val="tx1"/>
                              </a:solidFill>
                              <a:effectLst/>
                              <a:latin typeface="Arial" pitchFamily="34" charset="0"/>
                              <a:ea typeface="Times New Roman" pitchFamily="18" charset="0"/>
                              <a:cs typeface="Arial" pitchFamily="34" charset="0"/>
                            </a:rPr>
                            <a:t>Lysozyme</a:t>
                          </a:r>
                          <a:r>
                            <a:rPr kumimoji="0" lang="en-US" sz="32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a typical globular protein, incorporating many identifiable secondary structures.</a:t>
                          </a:r>
                          <a:br>
                            <a:rPr kumimoji="0" lang="en-US" sz="32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br>
                          <a:r>
                            <a:rPr kumimoji="0" lang="en-US" sz="3200" b="1"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2-Mellitin</a:t>
                          </a:r>
                          <a:r>
                            <a:rPr kumimoji="0" lang="en-US" sz="32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from honey bee venom, has a well-defined quaternary structure, half of which is shown here.</a:t>
                          </a:r>
                          <a:br>
                            <a:rPr kumimoji="0" lang="en-US" sz="32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br>
                          <a:r>
                            <a:rPr kumimoji="0" lang="en-US" sz="32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a:r>
                          <a:br>
                            <a:rPr kumimoji="0" lang="en-US" sz="3200" b="0"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br>
                          <a:endParaRPr kumimoji="0" lang="en-US" sz="32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p>
    <w:p w:rsidR="00C5456E" w:rsidRDefault="00C5456E" w:rsidP="00C5456E">
      <w:pPr>
        <w:rPr>
          <w:rFonts w:hint="cs"/>
          <w:rtl/>
        </w:rPr>
      </w:pPr>
      <w:r w:rsidRPr="00C5456E">
        <w:rPr>
          <w:rtl/>
        </w:rPr>
        <w:drawing>
          <wp:inline distT="0" distB="0" distL="0" distR="0">
            <wp:extent cx="4896544" cy="646331"/>
            <wp:effectExtent l="0" t="0" r="0" b="0"/>
            <wp:docPr id="14"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96544" cy="646331"/>
                      <a:chOff x="1259632" y="868661"/>
                      <a:chExt cx="4896544" cy="646331"/>
                    </a:xfrm>
                  </a:grpSpPr>
                  <a:sp>
                    <a:nvSpPr>
                      <a:cNvPr id="88065" name="Rectangle 1"/>
                      <a:cNvSpPr>
                        <a:spLocks noChangeArrowheads="1"/>
                      </a:cNvSpPr>
                    </a:nvSpPr>
                    <a:spPr bwMode="auto">
                      <a:xfrm>
                        <a:off x="1259632" y="868661"/>
                        <a:ext cx="4896544" cy="646331"/>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3600" b="1" i="1" u="none" strike="noStrike" cap="none" normalizeH="0" baseline="0" dirty="0" err="1" smtClean="0">
                              <a:ln>
                                <a:noFill/>
                              </a:ln>
                              <a:solidFill>
                                <a:schemeClr val="tx1"/>
                              </a:solidFill>
                              <a:effectLst/>
                              <a:latin typeface="Calibri" pitchFamily="34" charset="0"/>
                              <a:ea typeface="Calibri" pitchFamily="34" charset="0"/>
                              <a:cs typeface="Arial" pitchFamily="34" charset="0"/>
                            </a:rPr>
                            <a:t>Denaturation</a:t>
                          </a:r>
                          <a:endParaRPr kumimoji="0" lang="en-US" sz="3600" b="0" i="0" u="none" strike="noStrike" cap="none" normalizeH="0" baseline="0" dirty="0" smtClean="0">
                            <a:ln>
                              <a:noFill/>
                            </a:ln>
                            <a:solidFill>
                              <a:schemeClr val="tx1"/>
                            </a:solidFill>
                            <a:effectLst/>
                            <a:latin typeface="Arial" pitchFamily="34" charset="0"/>
                            <a:cs typeface="Arial" pitchFamily="34" charset="0"/>
                          </a:endParaRPr>
                        </a:p>
                      </a:txBody>
                      <a:useSpRect/>
                    </a:txSp>
                  </a:sp>
                </lc:lockedCanvas>
              </a:graphicData>
            </a:graphic>
          </wp:inline>
        </w:drawing>
      </w:r>
    </w:p>
    <w:p w:rsidR="00C5456E" w:rsidRDefault="00C5456E" w:rsidP="00C5456E">
      <w:r w:rsidRPr="00C5456E">
        <w:rPr>
          <w:rtl/>
        </w:rPr>
        <w:drawing>
          <wp:inline distT="0" distB="0" distL="0" distR="0">
            <wp:extent cx="5274310" cy="1348490"/>
            <wp:effectExtent l="0" t="0" r="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896" cy="2062103"/>
                      <a:chOff x="539552" y="1988840"/>
                      <a:chExt cx="8064896" cy="2062103"/>
                    </a:xfrm>
                  </a:grpSpPr>
                  <a:sp>
                    <a:nvSpPr>
                      <a:cNvPr id="3" name="Rectangle 2"/>
                      <a:cNvSpPr/>
                    </a:nvSpPr>
                    <a:spPr>
                      <a:xfrm>
                        <a:off x="539552" y="1988840"/>
                        <a:ext cx="8064896" cy="2062103"/>
                      </a:xfrm>
                      <a:prstGeom prst="rect">
                        <a:avLst/>
                      </a:prstGeom>
                    </a:spPr>
                    <a:txSp>
                      <a:txBody>
                        <a:bodyPr wrap="square">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l"/>
                          <a:r>
                            <a:rPr lang="en-US" sz="3200" dirty="0" smtClean="0"/>
                            <a:t>       The natural or native structures of proteins may be altered, and their biological activity changed or destroyed by treatment that does not disrupt the primary structure</a:t>
                          </a:r>
                          <a:endParaRPr lang="ar-IQ" sz="3200" dirty="0"/>
                        </a:p>
                      </a:txBody>
                      <a:useSpRect/>
                    </a:txSp>
                  </a:sp>
                </lc:lockedCanvas>
              </a:graphicData>
            </a:graphic>
          </wp:inline>
        </w:drawing>
      </w:r>
    </w:p>
    <w:sectPr w:rsidR="00C5456E" w:rsidSect="0076363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456E"/>
    <w:rsid w:val="005C140E"/>
    <w:rsid w:val="0076363F"/>
    <w:rsid w:val="00C545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0E"/>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7611">
      <w:bodyDiv w:val="1"/>
      <w:marLeft w:val="0"/>
      <w:marRight w:val="0"/>
      <w:marTop w:val="0"/>
      <w:marBottom w:val="0"/>
      <w:divBdr>
        <w:top w:val="none" w:sz="0" w:space="0" w:color="auto"/>
        <w:left w:val="none" w:sz="0" w:space="0" w:color="auto"/>
        <w:bottom w:val="none" w:sz="0" w:space="0" w:color="auto"/>
        <w:right w:val="none" w:sz="0" w:space="0" w:color="auto"/>
      </w:divBdr>
    </w:div>
    <w:div w:id="12699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Words>
  <Characters>29</Characters>
  <Application>Microsoft Office Word</Application>
  <DocSecurity>0</DocSecurity>
  <Lines>1</Lines>
  <Paragraphs>1</Paragraphs>
  <ScaleCrop>false</ScaleCrop>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IRAQ</dc:creator>
  <cp:lastModifiedBy>IRAQ</cp:lastModifiedBy>
  <cp:revision>1</cp:revision>
  <dcterms:created xsi:type="dcterms:W3CDTF">2017-04-24T15:48:00Z</dcterms:created>
  <dcterms:modified xsi:type="dcterms:W3CDTF">2017-04-24T15:53:00Z</dcterms:modified>
</cp:coreProperties>
</file>