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EE291" w14:textId="77777777" w:rsidR="001931C6" w:rsidRPr="004E45DD" w:rsidRDefault="001931C6" w:rsidP="004E45DD">
      <w:pPr>
        <w:spacing w:after="900"/>
        <w:jc w:val="center"/>
        <w:rPr>
          <w:rFonts w:ascii="Simplified Arabic" w:hAnsi="Simplified Arabic" w:cs="Simplified Arabic"/>
          <w:sz w:val="32"/>
          <w:szCs w:val="32"/>
        </w:rPr>
      </w:pPr>
    </w:p>
    <w:p w14:paraId="3E26C9A4" w14:textId="77777777" w:rsidR="001931C6" w:rsidRPr="004E45DD" w:rsidRDefault="009874BF" w:rsidP="004E45DD">
      <w:pPr>
        <w:spacing w:after="140"/>
        <w:jc w:val="center"/>
        <w:rPr>
          <w:rFonts w:ascii="Simplified Arabic" w:hAnsi="Simplified Arabic" w:cs="Simplified Arabic"/>
          <w:sz w:val="40"/>
          <w:szCs w:val="40"/>
        </w:rPr>
      </w:pPr>
      <w:r w:rsidRPr="004E45DD">
        <w:rPr>
          <w:rFonts w:ascii="Simplified Arabic" w:hAnsi="Simplified Arabic" w:cs="Simplified Arabic"/>
          <w:b/>
          <w:bCs/>
          <w:color w:val="B58A2E"/>
          <w:sz w:val="40"/>
          <w:szCs w:val="40"/>
          <w:rtl/>
        </w:rPr>
        <w:t>المحاضرة الثالثة</w:t>
      </w:r>
    </w:p>
    <w:tbl>
      <w:tblPr>
        <w:bidiVisual/>
        <w:tblW w:w="9506" w:type="dxa"/>
        <w:tblBorders>
          <w:top w:val="single" w:sz="18" w:space="0" w:color="13415C"/>
          <w:left w:val="none" w:sz="0" w:space="0" w:color="FFFFFF"/>
          <w:bottom w:val="single" w:sz="18" w:space="0" w:color="13415C"/>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506"/>
      </w:tblGrid>
      <w:tr w:rsidR="001931C6" w:rsidRPr="004E45DD" w14:paraId="75FB2DA7" w14:textId="77777777">
        <w:tc>
          <w:tcPr>
            <w:tcW w:w="9506" w:type="dxa"/>
            <w:tcMar>
              <w:top w:w="320" w:type="dxa"/>
              <w:left w:w="200" w:type="dxa"/>
              <w:bottom w:w="320" w:type="dxa"/>
              <w:right w:w="200" w:type="dxa"/>
            </w:tcMar>
          </w:tcPr>
          <w:p w14:paraId="711260CE" w14:textId="77777777" w:rsidR="001931C6" w:rsidRPr="004E45DD" w:rsidRDefault="009874BF" w:rsidP="004E45DD">
            <w:pPr>
              <w:spacing w:after="120"/>
              <w:jc w:val="center"/>
              <w:rPr>
                <w:rFonts w:ascii="Simplified Arabic" w:hAnsi="Simplified Arabic" w:cs="Simplified Arabic"/>
                <w:sz w:val="40"/>
                <w:szCs w:val="40"/>
              </w:rPr>
            </w:pPr>
            <w:r w:rsidRPr="004E45DD">
              <w:rPr>
                <w:rFonts w:ascii="Simplified Arabic" w:hAnsi="Simplified Arabic" w:cs="Simplified Arabic"/>
                <w:b/>
                <w:bCs/>
                <w:color w:val="13415C"/>
                <w:sz w:val="40"/>
                <w:szCs w:val="40"/>
                <w:rtl/>
              </w:rPr>
              <w:t>مراجعة الأدبيات والدراسات السابقة</w:t>
            </w:r>
          </w:p>
          <w:p w14:paraId="6918C2EF" w14:textId="77777777" w:rsidR="001931C6" w:rsidRPr="004E45DD" w:rsidRDefault="009874BF" w:rsidP="004E45DD">
            <w:pPr>
              <w:jc w:val="center"/>
              <w:rPr>
                <w:rFonts w:ascii="Simplified Arabic" w:hAnsi="Simplified Arabic" w:cs="Simplified Arabic"/>
                <w:sz w:val="40"/>
                <w:szCs w:val="40"/>
              </w:rPr>
            </w:pPr>
            <w:r w:rsidRPr="004E45DD">
              <w:rPr>
                <w:rFonts w:ascii="Simplified Arabic" w:hAnsi="Simplified Arabic" w:cs="Simplified Arabic"/>
                <w:color w:val="1F7A8C"/>
                <w:sz w:val="40"/>
                <w:szCs w:val="40"/>
                <w:rtl/>
              </w:rPr>
              <w:t>استراتيجيات البحث في قواعد البيانات العلمية</w:t>
            </w:r>
          </w:p>
        </w:tc>
      </w:tr>
    </w:tbl>
    <w:p w14:paraId="40134FE9" w14:textId="77777777" w:rsidR="001931C6" w:rsidRPr="004E45DD" w:rsidRDefault="001931C6" w:rsidP="004E45DD">
      <w:pPr>
        <w:spacing w:after="500"/>
        <w:jc w:val="center"/>
        <w:rPr>
          <w:rFonts w:ascii="Simplified Arabic" w:hAnsi="Simplified Arabic" w:cs="Simplified Arabic"/>
          <w:sz w:val="40"/>
          <w:szCs w:val="40"/>
        </w:rPr>
      </w:pPr>
    </w:p>
    <w:p w14:paraId="3FED7B61" w14:textId="77777777" w:rsidR="001931C6" w:rsidRPr="004E45DD" w:rsidRDefault="009874BF" w:rsidP="004E45DD">
      <w:pPr>
        <w:spacing w:after="90"/>
        <w:jc w:val="center"/>
        <w:rPr>
          <w:rFonts w:ascii="Simplified Arabic" w:hAnsi="Simplified Arabic" w:cs="Simplified Arabic"/>
          <w:sz w:val="40"/>
          <w:szCs w:val="40"/>
        </w:rPr>
      </w:pPr>
      <w:r w:rsidRPr="004E45DD">
        <w:rPr>
          <w:rFonts w:ascii="Simplified Arabic" w:hAnsi="Simplified Arabic" w:cs="Simplified Arabic"/>
          <w:color w:val="5A6672"/>
          <w:sz w:val="40"/>
          <w:szCs w:val="40"/>
          <w:rtl/>
        </w:rPr>
        <w:t>مادة: أساليب البحث العلمي</w:t>
      </w:r>
    </w:p>
    <w:p w14:paraId="14A31AFF" w14:textId="77777777" w:rsidR="001931C6" w:rsidRPr="004E45DD" w:rsidRDefault="009874BF" w:rsidP="004E45DD">
      <w:pPr>
        <w:spacing w:after="90"/>
        <w:jc w:val="center"/>
        <w:rPr>
          <w:rFonts w:ascii="Simplified Arabic" w:hAnsi="Simplified Arabic" w:cs="Simplified Arabic"/>
          <w:sz w:val="40"/>
          <w:szCs w:val="40"/>
        </w:rPr>
      </w:pPr>
      <w:r w:rsidRPr="004E45DD">
        <w:rPr>
          <w:rFonts w:ascii="Simplified Arabic" w:hAnsi="Simplified Arabic" w:cs="Simplified Arabic"/>
          <w:color w:val="5A6672"/>
          <w:sz w:val="40"/>
          <w:szCs w:val="40"/>
          <w:rtl/>
        </w:rPr>
        <w:t>كلية العلوم السياحية — المرحلة الرابعة</w:t>
      </w:r>
    </w:p>
    <w:p w14:paraId="504F6B8C" w14:textId="77777777" w:rsidR="001931C6" w:rsidRPr="004E45DD" w:rsidRDefault="009874BF" w:rsidP="004E45DD">
      <w:pPr>
        <w:spacing w:after="90"/>
        <w:jc w:val="center"/>
        <w:rPr>
          <w:rFonts w:ascii="Simplified Arabic" w:hAnsi="Simplified Arabic" w:cs="Simplified Arabic"/>
          <w:sz w:val="40"/>
          <w:szCs w:val="40"/>
        </w:rPr>
      </w:pPr>
      <w:r w:rsidRPr="004E45DD">
        <w:rPr>
          <w:rFonts w:ascii="Simplified Arabic" w:hAnsi="Simplified Arabic" w:cs="Simplified Arabic"/>
          <w:color w:val="5A6672"/>
          <w:sz w:val="40"/>
          <w:szCs w:val="40"/>
          <w:rtl/>
        </w:rPr>
        <w:t>الأسبوع الثالث من خمسة عشر أسبوعًا</w:t>
      </w:r>
    </w:p>
    <w:p w14:paraId="11DDBB92" w14:textId="77777777" w:rsidR="001931C6" w:rsidRPr="004E45DD" w:rsidRDefault="009874BF" w:rsidP="004E45DD">
      <w:pPr>
        <w:jc w:val="both"/>
        <w:rPr>
          <w:rFonts w:ascii="Simplified Arabic" w:hAnsi="Simplified Arabic" w:cs="Simplified Arabic"/>
          <w:sz w:val="32"/>
          <w:szCs w:val="32"/>
        </w:rPr>
      </w:pPr>
      <w:r w:rsidRPr="004E45DD">
        <w:rPr>
          <w:rFonts w:ascii="Simplified Arabic" w:hAnsi="Simplified Arabic" w:cs="Simplified Arabic"/>
          <w:sz w:val="32"/>
          <w:szCs w:val="32"/>
        </w:rPr>
        <w:br w:type="page"/>
      </w:r>
    </w:p>
    <w:tbl>
      <w:tblPr>
        <w:bidiVisual/>
        <w:tblW w:w="9506" w:type="dxa"/>
        <w:tblBorders>
          <w:top w:val="single" w:sz="4" w:space="0" w:color="1F7A8C"/>
          <w:left w:val="single" w:sz="4" w:space="0" w:color="1F7A8C"/>
          <w:bottom w:val="single" w:sz="4" w:space="0" w:color="1F7A8C"/>
          <w:right w:val="single" w:sz="24" w:space="0" w:color="1F7A8C"/>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506"/>
      </w:tblGrid>
      <w:tr w:rsidR="001931C6" w:rsidRPr="004E45DD" w14:paraId="514F570D" w14:textId="77777777">
        <w:tc>
          <w:tcPr>
            <w:tcW w:w="9506" w:type="dxa"/>
            <w:shd w:val="clear" w:color="auto" w:fill="EAF1F4"/>
            <w:tcMar>
              <w:top w:w="160" w:type="dxa"/>
              <w:left w:w="180" w:type="dxa"/>
              <w:bottom w:w="160" w:type="dxa"/>
              <w:right w:w="180" w:type="dxa"/>
            </w:tcMar>
          </w:tcPr>
          <w:p w14:paraId="02717E20" w14:textId="77777777" w:rsidR="001931C6" w:rsidRPr="004E45DD" w:rsidRDefault="009874BF" w:rsidP="004E45DD">
            <w:pPr>
              <w:spacing w:after="90"/>
              <w:jc w:val="both"/>
              <w:rPr>
                <w:rFonts w:ascii="Simplified Arabic" w:hAnsi="Simplified Arabic" w:cs="Simplified Arabic"/>
                <w:sz w:val="32"/>
                <w:szCs w:val="32"/>
              </w:rPr>
            </w:pPr>
            <w:r w:rsidRPr="004E45DD">
              <w:rPr>
                <w:rFonts w:ascii="Simplified Arabic" w:hAnsi="Simplified Arabic" w:cs="Simplified Arabic"/>
                <w:b/>
                <w:bCs/>
                <w:color w:val="1F7A8C"/>
                <w:sz w:val="32"/>
                <w:szCs w:val="32"/>
                <w:rtl/>
              </w:rPr>
              <w:lastRenderedPageBreak/>
              <w:t>أهداف المحاضرة</w:t>
            </w:r>
          </w:p>
          <w:p w14:paraId="570039EF" w14:textId="77777777" w:rsidR="001931C6" w:rsidRPr="004E45DD" w:rsidRDefault="009874BF" w:rsidP="004E45DD">
            <w:pPr>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يُتوقَّع من الطالب في نهاية هذه المحاضرة أن يكون قادرًا على:</w:t>
            </w:r>
          </w:p>
          <w:p w14:paraId="3EBB7B64" w14:textId="77777777" w:rsidR="001931C6" w:rsidRPr="004E45DD" w:rsidRDefault="009874BF" w:rsidP="004E45DD">
            <w:pPr>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١. بيان وظائف مراجعة الأدبيات في خطة البحث.</w:t>
            </w:r>
          </w:p>
          <w:p w14:paraId="39797595" w14:textId="77777777" w:rsidR="001931C6" w:rsidRPr="004E45DD" w:rsidRDefault="009874BF" w:rsidP="004E45DD">
            <w:pPr>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٢. تطبيق استراتيجية منظمة للقراءة النقدية للدراسات السابقة.</w:t>
            </w:r>
          </w:p>
          <w:p w14:paraId="03A0AF32" w14:textId="77777777" w:rsidR="001931C6" w:rsidRPr="004E45DD" w:rsidRDefault="009874BF" w:rsidP="004E45DD">
            <w:pPr>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٣. استعمال قواعد البيانات العلمية الرصينة للبحث عن مصادر ذات صلة.</w:t>
            </w:r>
          </w:p>
          <w:p w14:paraId="466DD161" w14:textId="77777777" w:rsidR="001931C6" w:rsidRPr="004E45DD" w:rsidRDefault="009874BF" w:rsidP="004E45DD">
            <w:pPr>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٤. تمييز المجلات المحكَّمة الرصينة من المجلات الوهمية أو المفترسة.</w:t>
            </w:r>
          </w:p>
          <w:p w14:paraId="7E064343" w14:textId="77777777" w:rsidR="001931C6" w:rsidRPr="004E45DD" w:rsidRDefault="009874BF" w:rsidP="004E45DD">
            <w:pPr>
              <w:spacing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٥. استخراج فجوة بحثية مبررة من تحليل الدراسات السابقة.</w:t>
            </w:r>
          </w:p>
        </w:tc>
      </w:tr>
    </w:tbl>
    <w:p w14:paraId="6BCB7559" w14:textId="77777777" w:rsidR="001931C6" w:rsidRPr="004E45DD" w:rsidRDefault="001931C6" w:rsidP="004E45DD">
      <w:pPr>
        <w:spacing w:after="200"/>
        <w:jc w:val="both"/>
        <w:rPr>
          <w:rFonts w:ascii="Simplified Arabic" w:hAnsi="Simplified Arabic" w:cs="Simplified Arabic"/>
          <w:sz w:val="32"/>
          <w:szCs w:val="32"/>
        </w:rPr>
      </w:pPr>
    </w:p>
    <w:p w14:paraId="7761B92F" w14:textId="77777777" w:rsidR="001931C6" w:rsidRPr="004E45DD" w:rsidRDefault="009874BF" w:rsidP="004E45DD">
      <w:pPr>
        <w:pStyle w:val="Heading1"/>
        <w:pBdr>
          <w:bottom w:val="single" w:sz="12" w:space="6" w:color="B58A2E"/>
        </w:pBdr>
        <w:bidi/>
        <w:spacing w:before="320" w:after="160"/>
        <w:jc w:val="both"/>
        <w:rPr>
          <w:rFonts w:ascii="Simplified Arabic" w:hAnsi="Simplified Arabic" w:cs="Simplified Arabic"/>
        </w:rPr>
      </w:pPr>
      <w:r w:rsidRPr="004E45DD">
        <w:rPr>
          <w:rFonts w:ascii="Simplified Arabic" w:hAnsi="Simplified Arabic" w:cs="Simplified Arabic"/>
          <w:b/>
          <w:bCs/>
          <w:color w:val="13415C"/>
          <w:rtl/>
        </w:rPr>
        <w:t>١. لماذا نراجع الأدبيات؟</w:t>
      </w:r>
    </w:p>
    <w:p w14:paraId="7B0A48F7" w14:textId="77777777" w:rsidR="001931C6" w:rsidRPr="004E45DD" w:rsidRDefault="009874BF" w:rsidP="004E45DD">
      <w:pPr>
        <w:spacing w:after="120"/>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قد يظن بعض الطلبة أن مراجعة الأدبيات مجرد إجراء شكلي يُراد به إثبات أن الباحث «اطّلع» على عدد من المصادر. والحقيقة أن لهذه المراجعة وظائف منهجية جوهرية لا يقوم البحث من دونها؛ فهي التي تُثبت أن الباحث يعرف حدود ما عُرِف سابقًا، وتحميه من إعادة اكتشاف نتيجة مقررة، وتمنحه المفاهيم والأدوات التي بُنيت عليها الدراسات السابقة.</w:t>
      </w:r>
      <w:r w:rsidRPr="004E45DD">
        <w:rPr>
          <w:rStyle w:val="FootnoteReference"/>
          <w:rFonts w:ascii="Simplified Arabic" w:hAnsi="Simplified Arabic" w:cs="Simplified Arabic"/>
          <w:sz w:val="32"/>
          <w:szCs w:val="32"/>
        </w:rPr>
        <w:footnoteReference w:id="1"/>
      </w:r>
    </w:p>
    <w:p w14:paraId="549E2689"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t xml:space="preserve">تحديد موضع الدراسة: </w:t>
      </w:r>
      <w:r w:rsidRPr="004E45DD">
        <w:rPr>
          <w:rFonts w:ascii="Simplified Arabic" w:hAnsi="Simplified Arabic" w:cs="Simplified Arabic"/>
          <w:color w:val="1A1A1A"/>
          <w:sz w:val="32"/>
          <w:szCs w:val="32"/>
          <w:rtl/>
        </w:rPr>
        <w:t>بيان أين تقف دراستك الحالية بين ما سبقها من بحوث، وما الذي تضيفه بالضبط.</w:t>
      </w:r>
    </w:p>
    <w:p w14:paraId="52394AE2"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t xml:space="preserve">بناء الإطار المفاهيمي: </w:t>
      </w:r>
      <w:r w:rsidRPr="004E45DD">
        <w:rPr>
          <w:rFonts w:ascii="Simplified Arabic" w:hAnsi="Simplified Arabic" w:cs="Simplified Arabic"/>
          <w:color w:val="1A1A1A"/>
          <w:sz w:val="32"/>
          <w:szCs w:val="32"/>
          <w:rtl/>
        </w:rPr>
        <w:t>استعارة تعريفات المتغيرات ومقاييسها من دراسات موثوقة سابقة، بدل اختراع تعريفات مرتجلة.</w:t>
      </w:r>
    </w:p>
    <w:p w14:paraId="7AFA9644"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lastRenderedPageBreak/>
        <w:t xml:space="preserve">تبرير الفرضيات: </w:t>
      </w:r>
      <w:r w:rsidRPr="004E45DD">
        <w:rPr>
          <w:rFonts w:ascii="Simplified Arabic" w:hAnsi="Simplified Arabic" w:cs="Simplified Arabic"/>
          <w:color w:val="1A1A1A"/>
          <w:sz w:val="32"/>
          <w:szCs w:val="32"/>
          <w:rtl/>
        </w:rPr>
        <w:t>الاستناد إلى نتائج دراسات سابقة أو نظريات مستقرة لتوقّع اتجاه العلاقة بين المتغيرات.</w:t>
      </w:r>
    </w:p>
    <w:p w14:paraId="7A63AA8E"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t xml:space="preserve">تفادي التكرار غير المبرر: </w:t>
      </w:r>
      <w:r w:rsidRPr="004E45DD">
        <w:rPr>
          <w:rFonts w:ascii="Simplified Arabic" w:hAnsi="Simplified Arabic" w:cs="Simplified Arabic"/>
          <w:color w:val="1A1A1A"/>
          <w:sz w:val="32"/>
          <w:szCs w:val="32"/>
          <w:rtl/>
        </w:rPr>
        <w:t>التحقق من أن السؤال البحثي لم يُجَب عنه إجابة كافية في السياق نفسه من قبل.</w:t>
      </w:r>
    </w:p>
    <w:p w14:paraId="5C931387"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t xml:space="preserve">تزويد الباحث بأدوات القياس: </w:t>
      </w:r>
      <w:r w:rsidRPr="004E45DD">
        <w:rPr>
          <w:rFonts w:ascii="Simplified Arabic" w:hAnsi="Simplified Arabic" w:cs="Simplified Arabic"/>
          <w:color w:val="1A1A1A"/>
          <w:sz w:val="32"/>
          <w:szCs w:val="32"/>
          <w:rtl/>
        </w:rPr>
        <w:t>الاستبانات المُستعملة سابقًا وثبت صدقها وثباتها توفّر على الباحث عناء بناء أداة من الصفر.</w:t>
      </w:r>
    </w:p>
    <w:p w14:paraId="11610B52" w14:textId="77777777" w:rsidR="001931C6" w:rsidRPr="004E45DD" w:rsidRDefault="009874BF" w:rsidP="004E45DD">
      <w:pPr>
        <w:jc w:val="both"/>
        <w:rPr>
          <w:rFonts w:ascii="Simplified Arabic" w:hAnsi="Simplified Arabic" w:cs="Simplified Arabic"/>
          <w:sz w:val="32"/>
          <w:szCs w:val="32"/>
        </w:rPr>
      </w:pPr>
      <w:r w:rsidRPr="004E45DD">
        <w:rPr>
          <w:rFonts w:ascii="Simplified Arabic" w:hAnsi="Simplified Arabic" w:cs="Simplified Arabic"/>
          <w:sz w:val="32"/>
          <w:szCs w:val="32"/>
        </w:rPr>
        <w:br w:type="page"/>
      </w:r>
    </w:p>
    <w:p w14:paraId="52FC0422" w14:textId="77777777" w:rsidR="001931C6" w:rsidRPr="004E45DD" w:rsidRDefault="009874BF" w:rsidP="004E45DD">
      <w:pPr>
        <w:pStyle w:val="Heading1"/>
        <w:pBdr>
          <w:bottom w:val="single" w:sz="12" w:space="6" w:color="B58A2E"/>
        </w:pBdr>
        <w:bidi/>
        <w:spacing w:before="320" w:after="160"/>
        <w:jc w:val="both"/>
        <w:rPr>
          <w:rFonts w:ascii="Simplified Arabic" w:hAnsi="Simplified Arabic" w:cs="Simplified Arabic"/>
        </w:rPr>
      </w:pPr>
      <w:r w:rsidRPr="004E45DD">
        <w:rPr>
          <w:rFonts w:ascii="Simplified Arabic" w:hAnsi="Simplified Arabic" w:cs="Simplified Arabic"/>
          <w:b/>
          <w:bCs/>
          <w:color w:val="13415C"/>
          <w:rtl/>
        </w:rPr>
        <w:lastRenderedPageBreak/>
        <w:t>٢. استراتيجية القراءة النقدية للدراسات السابقة</w:t>
      </w:r>
    </w:p>
    <w:p w14:paraId="293760CC" w14:textId="77777777" w:rsidR="001931C6" w:rsidRPr="004E45DD" w:rsidRDefault="009874BF" w:rsidP="004E45DD">
      <w:pPr>
        <w:spacing w:after="120"/>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القراءة العشوائية للمصادر تُهدر وقت الباحث من دون أن تنتج فهمًا متماسكًا. ويُنصح باتباع استراتيجية منظمة من ثلاث مراحل متتابعة عند التعامل مع كل مصدر:</w:t>
      </w:r>
    </w:p>
    <w:p w14:paraId="4C8940C9" w14:textId="77777777" w:rsidR="001931C6" w:rsidRPr="004E45DD" w:rsidRDefault="009874BF" w:rsidP="004E45DD">
      <w:pPr>
        <w:pStyle w:val="Heading3"/>
        <w:bidi/>
        <w:spacing w:before="160" w:after="80"/>
        <w:jc w:val="both"/>
        <w:rPr>
          <w:rFonts w:ascii="Simplified Arabic" w:hAnsi="Simplified Arabic" w:cs="Simplified Arabic"/>
          <w:sz w:val="32"/>
          <w:szCs w:val="32"/>
        </w:rPr>
      </w:pPr>
      <w:r w:rsidRPr="004E45DD">
        <w:rPr>
          <w:rFonts w:ascii="Simplified Arabic" w:hAnsi="Simplified Arabic" w:cs="Simplified Arabic"/>
          <w:b/>
          <w:bCs/>
          <w:color w:val="B58A2E"/>
          <w:sz w:val="32"/>
          <w:szCs w:val="32"/>
          <w:rtl/>
        </w:rPr>
        <w:t>المرحلة الأولى: المسح السريع (Skimming)</w:t>
      </w:r>
    </w:p>
    <w:p w14:paraId="48872E38" w14:textId="77777777" w:rsidR="001931C6" w:rsidRPr="004E45DD" w:rsidRDefault="009874BF" w:rsidP="004E45DD">
      <w:pPr>
        <w:spacing w:after="120"/>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قراءة العنوان والمستخلص والاستنتاجات فقط، للحكم السريع على مدى صلة المصدر بموضوعك قبل استثمار وقت أطول فيه.</w:t>
      </w:r>
    </w:p>
    <w:p w14:paraId="0504F3F6" w14:textId="77777777" w:rsidR="001931C6" w:rsidRPr="004E45DD" w:rsidRDefault="009874BF" w:rsidP="004E45DD">
      <w:pPr>
        <w:pStyle w:val="Heading3"/>
        <w:bidi/>
        <w:spacing w:before="160" w:after="80"/>
        <w:jc w:val="both"/>
        <w:rPr>
          <w:rFonts w:ascii="Simplified Arabic" w:hAnsi="Simplified Arabic" w:cs="Simplified Arabic"/>
          <w:sz w:val="32"/>
          <w:szCs w:val="32"/>
        </w:rPr>
      </w:pPr>
      <w:r w:rsidRPr="004E45DD">
        <w:rPr>
          <w:rFonts w:ascii="Simplified Arabic" w:hAnsi="Simplified Arabic" w:cs="Simplified Arabic"/>
          <w:b/>
          <w:bCs/>
          <w:color w:val="B58A2E"/>
          <w:sz w:val="32"/>
          <w:szCs w:val="32"/>
          <w:rtl/>
        </w:rPr>
        <w:t>المرحلة الثانية: القراءة التحليلية</w:t>
      </w:r>
    </w:p>
    <w:p w14:paraId="2A0FE123" w14:textId="77777777" w:rsidR="001931C6" w:rsidRPr="004E45DD" w:rsidRDefault="009874BF" w:rsidP="004E45DD">
      <w:pPr>
        <w:spacing w:after="120"/>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لكل مصدر يجتاز المسح السريع، تُقرأ منهجيته ونتائجه بعناية، مع تدوين: هدف الدراسة، متغيراتها، منهجها وعيّنتها، وأبرز نتائجها، في جدول منظم لا في ملاحظات متناثرة.</w:t>
      </w:r>
    </w:p>
    <w:p w14:paraId="3E3CBB1B" w14:textId="77777777" w:rsidR="001931C6" w:rsidRPr="004E45DD" w:rsidRDefault="009874BF" w:rsidP="004E45DD">
      <w:pPr>
        <w:pStyle w:val="Heading3"/>
        <w:bidi/>
        <w:spacing w:before="160" w:after="80"/>
        <w:jc w:val="both"/>
        <w:rPr>
          <w:rFonts w:ascii="Simplified Arabic" w:hAnsi="Simplified Arabic" w:cs="Simplified Arabic"/>
          <w:sz w:val="32"/>
          <w:szCs w:val="32"/>
        </w:rPr>
      </w:pPr>
      <w:r w:rsidRPr="004E45DD">
        <w:rPr>
          <w:rFonts w:ascii="Simplified Arabic" w:hAnsi="Simplified Arabic" w:cs="Simplified Arabic"/>
          <w:b/>
          <w:bCs/>
          <w:color w:val="B58A2E"/>
          <w:sz w:val="32"/>
          <w:szCs w:val="32"/>
          <w:rtl/>
        </w:rPr>
        <w:t>المرحلة الثالثة: القراءة النقدية المقارنة</w:t>
      </w:r>
    </w:p>
    <w:p w14:paraId="3AE2C7E9" w14:textId="77777777" w:rsidR="001931C6" w:rsidRPr="004E45DD" w:rsidRDefault="009874BF" w:rsidP="004E45DD">
      <w:pPr>
        <w:spacing w:after="220"/>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بعد جمع عدد كافٍ من الدراسات، تُقارَن نتائجها ببعضها: أين تتفق؟ أين تختلف؟ ولماذا قد تختلف (اختلاف العيّنة، الثقافة، المنهج)؟ وهذه المقارنة هي التي تكشف الفجوة البحثية.</w:t>
      </w:r>
    </w:p>
    <w:tbl>
      <w:tblPr>
        <w:bidiVisual/>
        <w:tblW w:w="9506" w:type="dxa"/>
        <w:tblBorders>
          <w:top w:val="single" w:sz="4" w:space="0" w:color="B58A2E"/>
          <w:left w:val="single" w:sz="4" w:space="0" w:color="B58A2E"/>
          <w:bottom w:val="single" w:sz="4" w:space="0" w:color="B58A2E"/>
          <w:right w:val="single" w:sz="24" w:space="0" w:color="B58A2E"/>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506"/>
      </w:tblGrid>
      <w:tr w:rsidR="001931C6" w:rsidRPr="004E45DD" w14:paraId="0803AF7F" w14:textId="77777777">
        <w:tc>
          <w:tcPr>
            <w:tcW w:w="9506" w:type="dxa"/>
            <w:shd w:val="clear" w:color="auto" w:fill="FBF4E4"/>
            <w:tcMar>
              <w:top w:w="160" w:type="dxa"/>
              <w:left w:w="180" w:type="dxa"/>
              <w:bottom w:w="160" w:type="dxa"/>
              <w:right w:w="180" w:type="dxa"/>
            </w:tcMar>
          </w:tcPr>
          <w:p w14:paraId="291C0BF7" w14:textId="77777777" w:rsidR="001931C6" w:rsidRPr="004E45DD" w:rsidRDefault="009874BF" w:rsidP="004E45DD">
            <w:pPr>
              <w:spacing w:after="90"/>
              <w:jc w:val="both"/>
              <w:rPr>
                <w:rFonts w:ascii="Simplified Arabic" w:hAnsi="Simplified Arabic" w:cs="Simplified Arabic"/>
                <w:sz w:val="32"/>
                <w:szCs w:val="32"/>
              </w:rPr>
            </w:pPr>
            <w:r w:rsidRPr="004E45DD">
              <w:rPr>
                <w:rFonts w:ascii="Simplified Arabic" w:hAnsi="Simplified Arabic" w:cs="Simplified Arabic"/>
                <w:b/>
                <w:bCs/>
                <w:color w:val="B58A2E"/>
                <w:sz w:val="32"/>
                <w:szCs w:val="32"/>
                <w:rtl/>
              </w:rPr>
              <w:t>أداة عملية: جدول تحليل الدراسات السابقة</w:t>
            </w:r>
          </w:p>
          <w:p w14:paraId="3403BFCC" w14:textId="77777777" w:rsidR="001931C6" w:rsidRPr="004E45DD" w:rsidRDefault="009874BF" w:rsidP="004E45DD">
            <w:pPr>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يُنصح الطالب ببناء جدول بالأعمدة الآتية لكل دراسة يراجعها: المؤلف والسنة — هدف الدراسة — المتغيرات — المنهج والعيّنة — أبرز النتائج — علاقتها بموضوعي.</w:t>
            </w:r>
          </w:p>
          <w:p w14:paraId="0EE1D060" w14:textId="77777777" w:rsidR="001931C6" w:rsidRPr="004E45DD" w:rsidRDefault="009874BF" w:rsidP="004E45DD">
            <w:pPr>
              <w:spacing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هذا الجدول هو المادة الخام التي ستُصاغ منها فقرات مبحث الدراسات السابقة في الفصل الثاني من خطة البحث، وسيوفر على الطالب إعادة القراءة عند الكتابة.</w:t>
            </w:r>
          </w:p>
        </w:tc>
      </w:tr>
    </w:tbl>
    <w:p w14:paraId="10704C98" w14:textId="77777777" w:rsidR="001931C6" w:rsidRPr="004E45DD" w:rsidRDefault="009874BF" w:rsidP="004E45DD">
      <w:pPr>
        <w:jc w:val="both"/>
        <w:rPr>
          <w:rFonts w:ascii="Simplified Arabic" w:hAnsi="Simplified Arabic" w:cs="Simplified Arabic"/>
          <w:sz w:val="32"/>
          <w:szCs w:val="32"/>
        </w:rPr>
      </w:pPr>
      <w:r w:rsidRPr="004E45DD">
        <w:rPr>
          <w:rFonts w:ascii="Simplified Arabic" w:hAnsi="Simplified Arabic" w:cs="Simplified Arabic"/>
          <w:sz w:val="32"/>
          <w:szCs w:val="32"/>
        </w:rPr>
        <w:br w:type="page"/>
      </w:r>
    </w:p>
    <w:p w14:paraId="3F371233" w14:textId="77777777" w:rsidR="001931C6" w:rsidRPr="004E45DD" w:rsidRDefault="009874BF" w:rsidP="004E45DD">
      <w:pPr>
        <w:pStyle w:val="Heading1"/>
        <w:pBdr>
          <w:bottom w:val="single" w:sz="12" w:space="6" w:color="B58A2E"/>
        </w:pBdr>
        <w:bidi/>
        <w:spacing w:before="320" w:after="160"/>
        <w:jc w:val="both"/>
        <w:rPr>
          <w:rFonts w:ascii="Simplified Arabic" w:hAnsi="Simplified Arabic" w:cs="Simplified Arabic"/>
        </w:rPr>
      </w:pPr>
      <w:r w:rsidRPr="004E45DD">
        <w:rPr>
          <w:rFonts w:ascii="Simplified Arabic" w:hAnsi="Simplified Arabic" w:cs="Simplified Arabic"/>
          <w:b/>
          <w:bCs/>
          <w:color w:val="13415C"/>
          <w:rtl/>
        </w:rPr>
        <w:lastRenderedPageBreak/>
        <w:t>٣. قواعد البيانات العلمية ومصادر البحث الرصينة</w:t>
      </w:r>
    </w:p>
    <w:p w14:paraId="3EC20419" w14:textId="77777777" w:rsidR="001931C6" w:rsidRPr="004E45DD" w:rsidRDefault="009874BF" w:rsidP="004E45DD">
      <w:pPr>
        <w:spacing w:after="120"/>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لا تصلح جميع المصادر المتاحة على الإنترنت أساسًا لخطة بحث أكاديمية؛ فثمة تفاوت كبير في رصانة المصادر وموثوقيتها. ويُميَّز عادة بين ثلاث درجات من مصادر المعلومات:</w:t>
      </w:r>
      <w:r w:rsidRPr="004E45DD">
        <w:rPr>
          <w:rStyle w:val="FootnoteReference"/>
          <w:rFonts w:ascii="Simplified Arabic" w:hAnsi="Simplified Arabic" w:cs="Simplified Arabic"/>
          <w:sz w:val="32"/>
          <w:szCs w:val="32"/>
        </w:rPr>
        <w:footnoteReference w:id="2"/>
      </w:r>
    </w:p>
    <w:tbl>
      <w:tblPr>
        <w:bidiVisual/>
        <w:tblW w:w="9506" w:type="dxa"/>
        <w:tblBorders>
          <w:top w:val="single" w:sz="6" w:space="0" w:color="13415C"/>
          <w:left w:val="single" w:sz="6" w:space="0" w:color="13415C"/>
          <w:bottom w:val="single" w:sz="6" w:space="0" w:color="13415C"/>
          <w:right w:val="single" w:sz="6" w:space="0" w:color="13415C"/>
          <w:insideH w:val="single" w:sz="2" w:space="0" w:color="B9C7D0"/>
          <w:insideV w:val="single" w:sz="2" w:space="0" w:color="B9C7D0"/>
        </w:tblBorders>
        <w:tblCellMar>
          <w:left w:w="10" w:type="dxa"/>
          <w:right w:w="10" w:type="dxa"/>
        </w:tblCellMar>
        <w:tblLook w:val="0000" w:firstRow="0" w:lastRow="0" w:firstColumn="0" w:lastColumn="0" w:noHBand="0" w:noVBand="0"/>
      </w:tblPr>
      <w:tblGrid>
        <w:gridCol w:w="2400"/>
        <w:gridCol w:w="7106"/>
      </w:tblGrid>
      <w:tr w:rsidR="001931C6" w:rsidRPr="004E45DD" w14:paraId="37FCF9E1" w14:textId="77777777">
        <w:trPr>
          <w:cantSplit/>
          <w:tblHeader/>
        </w:trPr>
        <w:tc>
          <w:tcPr>
            <w:tcW w:w="2400" w:type="dxa"/>
            <w:shd w:val="clear" w:color="auto" w:fill="13415C"/>
            <w:tcMar>
              <w:top w:w="90" w:type="dxa"/>
              <w:left w:w="110" w:type="dxa"/>
              <w:bottom w:w="90" w:type="dxa"/>
              <w:right w:w="110" w:type="dxa"/>
            </w:tcMar>
            <w:vAlign w:val="center"/>
          </w:tcPr>
          <w:p w14:paraId="3423F731"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b/>
                <w:bCs/>
                <w:color w:val="FFFFFF"/>
                <w:sz w:val="32"/>
                <w:szCs w:val="32"/>
                <w:rtl/>
              </w:rPr>
              <w:t>درجة المصدر</w:t>
            </w:r>
          </w:p>
        </w:tc>
        <w:tc>
          <w:tcPr>
            <w:tcW w:w="7106" w:type="dxa"/>
            <w:shd w:val="clear" w:color="auto" w:fill="13415C"/>
            <w:tcMar>
              <w:top w:w="90" w:type="dxa"/>
              <w:left w:w="110" w:type="dxa"/>
              <w:bottom w:w="90" w:type="dxa"/>
              <w:right w:w="110" w:type="dxa"/>
            </w:tcMar>
            <w:vAlign w:val="center"/>
          </w:tcPr>
          <w:p w14:paraId="62CEF0E9"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b/>
                <w:bCs/>
                <w:color w:val="FFFFFF"/>
                <w:sz w:val="32"/>
                <w:szCs w:val="32"/>
                <w:rtl/>
              </w:rPr>
              <w:t>أمثلته ومكانته</w:t>
            </w:r>
          </w:p>
        </w:tc>
      </w:tr>
      <w:tr w:rsidR="001931C6" w:rsidRPr="004E45DD" w14:paraId="4CC970B2" w14:textId="77777777">
        <w:trPr>
          <w:cantSplit/>
        </w:trPr>
        <w:tc>
          <w:tcPr>
            <w:tcW w:w="2400" w:type="dxa"/>
            <w:shd w:val="clear" w:color="auto" w:fill="F5F8FA"/>
            <w:tcMar>
              <w:top w:w="90" w:type="dxa"/>
              <w:left w:w="110" w:type="dxa"/>
              <w:bottom w:w="90" w:type="dxa"/>
              <w:right w:w="110" w:type="dxa"/>
            </w:tcMar>
            <w:vAlign w:val="center"/>
          </w:tcPr>
          <w:p w14:paraId="7F0B0167"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مصادر أولية محكَّمة</w:t>
            </w:r>
          </w:p>
        </w:tc>
        <w:tc>
          <w:tcPr>
            <w:tcW w:w="7106" w:type="dxa"/>
            <w:shd w:val="clear" w:color="auto" w:fill="F5F8FA"/>
            <w:tcMar>
              <w:top w:w="90" w:type="dxa"/>
              <w:left w:w="110" w:type="dxa"/>
              <w:bottom w:w="90" w:type="dxa"/>
              <w:right w:w="110" w:type="dxa"/>
            </w:tcMar>
            <w:vAlign w:val="center"/>
          </w:tcPr>
          <w:p w14:paraId="6441D65C"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مقالات في مجلات علمية خضعت للتحكيم من الأقران (Peer Review)، وهي الأساس الذي يُبنى عليه الإطار النظري</w:t>
            </w:r>
          </w:p>
        </w:tc>
      </w:tr>
      <w:tr w:rsidR="001931C6" w:rsidRPr="004E45DD" w14:paraId="1FBA03AE" w14:textId="77777777">
        <w:trPr>
          <w:cantSplit/>
        </w:trPr>
        <w:tc>
          <w:tcPr>
            <w:tcW w:w="2400" w:type="dxa"/>
            <w:shd w:val="clear" w:color="auto" w:fill="F5F8FA"/>
            <w:tcMar>
              <w:top w:w="90" w:type="dxa"/>
              <w:left w:w="110" w:type="dxa"/>
              <w:bottom w:w="90" w:type="dxa"/>
              <w:right w:w="110" w:type="dxa"/>
            </w:tcMar>
            <w:vAlign w:val="center"/>
          </w:tcPr>
          <w:p w14:paraId="66F53E5E"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مصادر ثانوية موثوقة</w:t>
            </w:r>
          </w:p>
        </w:tc>
        <w:tc>
          <w:tcPr>
            <w:tcW w:w="7106" w:type="dxa"/>
            <w:shd w:val="clear" w:color="auto" w:fill="F5F8FA"/>
            <w:tcMar>
              <w:top w:w="90" w:type="dxa"/>
              <w:left w:w="110" w:type="dxa"/>
              <w:bottom w:w="90" w:type="dxa"/>
              <w:right w:w="110" w:type="dxa"/>
            </w:tcMar>
            <w:vAlign w:val="center"/>
          </w:tcPr>
          <w:p w14:paraId="696696F4"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كتب جامعية، تقارير مؤسسية رسمية (وزارات، منظمات دولية كمنظمة السياحة العالمية)، أطاريح وأدلة جامعية منشورة</w:t>
            </w:r>
          </w:p>
        </w:tc>
      </w:tr>
      <w:tr w:rsidR="001931C6" w:rsidRPr="004E45DD" w14:paraId="4105979B" w14:textId="77777777">
        <w:trPr>
          <w:cantSplit/>
        </w:trPr>
        <w:tc>
          <w:tcPr>
            <w:tcW w:w="2400" w:type="dxa"/>
            <w:shd w:val="clear" w:color="auto" w:fill="F5F8FA"/>
            <w:tcMar>
              <w:top w:w="90" w:type="dxa"/>
              <w:left w:w="110" w:type="dxa"/>
              <w:bottom w:w="90" w:type="dxa"/>
              <w:right w:w="110" w:type="dxa"/>
            </w:tcMar>
            <w:vAlign w:val="center"/>
          </w:tcPr>
          <w:p w14:paraId="3E2BF969"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مصادر غير أكاديمية</w:t>
            </w:r>
          </w:p>
        </w:tc>
        <w:tc>
          <w:tcPr>
            <w:tcW w:w="7106" w:type="dxa"/>
            <w:shd w:val="clear" w:color="auto" w:fill="F5F8FA"/>
            <w:tcMar>
              <w:top w:w="90" w:type="dxa"/>
              <w:left w:w="110" w:type="dxa"/>
              <w:bottom w:w="90" w:type="dxa"/>
              <w:right w:w="110" w:type="dxa"/>
            </w:tcMar>
            <w:vAlign w:val="center"/>
          </w:tcPr>
          <w:p w14:paraId="380C0AC2"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المدونات، المقالات الصحفية، الموسوعات المفتوحة؛ تصلح للاطلاع العام لا للاستشهاد العلمي المباشر في متن خطة البحث</w:t>
            </w:r>
          </w:p>
        </w:tc>
      </w:tr>
    </w:tbl>
    <w:p w14:paraId="0E95FB11" w14:textId="77777777" w:rsidR="001931C6" w:rsidRPr="004E45DD" w:rsidRDefault="009874BF" w:rsidP="004E45DD">
      <w:pPr>
        <w:spacing w:before="80" w:after="160"/>
        <w:jc w:val="both"/>
        <w:rPr>
          <w:rFonts w:ascii="Simplified Arabic" w:hAnsi="Simplified Arabic" w:cs="Simplified Arabic"/>
          <w:sz w:val="32"/>
          <w:szCs w:val="32"/>
        </w:rPr>
      </w:pPr>
      <w:r w:rsidRPr="004E45DD">
        <w:rPr>
          <w:rFonts w:ascii="Simplified Arabic" w:hAnsi="Simplified Arabic" w:cs="Simplified Arabic"/>
          <w:i/>
          <w:iCs/>
          <w:color w:val="5A6672"/>
          <w:sz w:val="32"/>
          <w:szCs w:val="32"/>
          <w:rtl/>
        </w:rPr>
        <w:t>جدول (١): درجات مصادر المعلومات من حيث رصانتها الأكاديمية</w:t>
      </w:r>
    </w:p>
    <w:p w14:paraId="2ACD61EA" w14:textId="77777777" w:rsidR="001931C6" w:rsidRPr="004E45DD" w:rsidRDefault="009874BF" w:rsidP="004E45DD">
      <w:pPr>
        <w:pStyle w:val="Heading2"/>
        <w:bidi/>
        <w:spacing w:before="220" w:after="110"/>
        <w:jc w:val="both"/>
        <w:rPr>
          <w:rFonts w:ascii="Simplified Arabic" w:hAnsi="Simplified Arabic" w:cs="Simplified Arabic"/>
          <w:sz w:val="32"/>
          <w:szCs w:val="32"/>
        </w:rPr>
      </w:pPr>
      <w:r w:rsidRPr="004E45DD">
        <w:rPr>
          <w:rFonts w:ascii="Simplified Arabic" w:hAnsi="Simplified Arabic" w:cs="Simplified Arabic"/>
          <w:b/>
          <w:bCs/>
          <w:color w:val="1F7A8C"/>
          <w:sz w:val="32"/>
          <w:szCs w:val="32"/>
          <w:rtl/>
        </w:rPr>
        <w:t>٣-١ أبرز قواعد البيانات العلمية</w:t>
      </w:r>
    </w:p>
    <w:p w14:paraId="24322454"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t xml:space="preserve">Scopus (Elsevier): </w:t>
      </w:r>
      <w:r w:rsidRPr="004E45DD">
        <w:rPr>
          <w:rFonts w:ascii="Simplified Arabic" w:hAnsi="Simplified Arabic" w:cs="Simplified Arabic"/>
          <w:color w:val="1A1A1A"/>
          <w:sz w:val="32"/>
          <w:szCs w:val="32"/>
          <w:rtl/>
        </w:rPr>
        <w:t>أكبر قاعدة بيانات للاستشهادات والملخصات في العلوم الاجتماعية والإدارية؛ يُصنَّف عبرها تصنيف المجلات (Q1–Q4) بحسب معامل الاستشهاد.</w:t>
      </w:r>
    </w:p>
    <w:p w14:paraId="32A86795"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t xml:space="preserve">Web of Science (Clarivate): </w:t>
      </w:r>
      <w:r w:rsidRPr="004E45DD">
        <w:rPr>
          <w:rFonts w:ascii="Simplified Arabic" w:hAnsi="Simplified Arabic" w:cs="Simplified Arabic"/>
          <w:color w:val="1A1A1A"/>
          <w:sz w:val="32"/>
          <w:szCs w:val="32"/>
          <w:rtl/>
        </w:rPr>
        <w:t>قاعدة بيانات مرموقة أخرى، تُستعمل غالبًا إلى جانب Scopus لتأكيد رصانة مجلة أو دراسة.</w:t>
      </w:r>
    </w:p>
    <w:p w14:paraId="019A9A65"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lastRenderedPageBreak/>
        <w:t xml:space="preserve">Google Scholar: </w:t>
      </w:r>
      <w:r w:rsidRPr="004E45DD">
        <w:rPr>
          <w:rFonts w:ascii="Simplified Arabic" w:hAnsi="Simplified Arabic" w:cs="Simplified Arabic"/>
          <w:color w:val="1A1A1A"/>
          <w:sz w:val="32"/>
          <w:szCs w:val="32"/>
          <w:rtl/>
        </w:rPr>
        <w:t>أداة بحث استكشافية واسعة التغطية ومجانية، لكنها تضم مصادر غير محكَّمة أيضًا؛ فلا يصح الاكتفاء بها من دون التحقق من رصانة كل مصدر على حدة.</w:t>
      </w:r>
    </w:p>
    <w:p w14:paraId="2321D14F"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t xml:space="preserve">DOAJ (Directory of Open Access Journals): </w:t>
      </w:r>
      <w:r w:rsidRPr="004E45DD">
        <w:rPr>
          <w:rFonts w:ascii="Simplified Arabic" w:hAnsi="Simplified Arabic" w:cs="Simplified Arabic"/>
          <w:color w:val="1A1A1A"/>
          <w:sz w:val="32"/>
          <w:szCs w:val="32"/>
          <w:rtl/>
        </w:rPr>
        <w:t>دليل موثوق يضم مجلات الوصول المفتوح التي اجتازت فحصًا لرصانتها، ويفيد الباحث الباحث عن مصادر متاحة مجانًا بالكامل.</w:t>
      </w:r>
    </w:p>
    <w:p w14:paraId="63679B84"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t xml:space="preserve">المكتبة الافتراضية العراقية (IVSL): </w:t>
      </w:r>
      <w:r w:rsidRPr="004E45DD">
        <w:rPr>
          <w:rFonts w:ascii="Simplified Arabic" w:hAnsi="Simplified Arabic" w:cs="Simplified Arabic"/>
          <w:color w:val="1A1A1A"/>
          <w:sz w:val="32"/>
          <w:szCs w:val="32"/>
          <w:rtl/>
        </w:rPr>
        <w:t>بوابة تتيح لطلبة الجامعات العراقية الوصول إلى عدد من قواعد البيانات العالمية المشترَكة.</w:t>
      </w:r>
    </w:p>
    <w:p w14:paraId="18C5F7CD" w14:textId="77777777" w:rsidR="001931C6" w:rsidRPr="004E45DD" w:rsidRDefault="009874BF" w:rsidP="004E45DD">
      <w:pPr>
        <w:jc w:val="both"/>
        <w:rPr>
          <w:rFonts w:ascii="Simplified Arabic" w:hAnsi="Simplified Arabic" w:cs="Simplified Arabic"/>
          <w:sz w:val="32"/>
          <w:szCs w:val="32"/>
        </w:rPr>
      </w:pPr>
      <w:r w:rsidRPr="004E45DD">
        <w:rPr>
          <w:rFonts w:ascii="Simplified Arabic" w:hAnsi="Simplified Arabic" w:cs="Simplified Arabic"/>
          <w:sz w:val="32"/>
          <w:szCs w:val="32"/>
        </w:rPr>
        <w:br w:type="page"/>
      </w:r>
    </w:p>
    <w:p w14:paraId="7DC0315C" w14:textId="77777777" w:rsidR="001931C6" w:rsidRPr="004E45DD" w:rsidRDefault="009874BF" w:rsidP="004E45DD">
      <w:pPr>
        <w:pStyle w:val="Heading1"/>
        <w:pBdr>
          <w:bottom w:val="single" w:sz="12" w:space="6" w:color="B58A2E"/>
        </w:pBdr>
        <w:bidi/>
        <w:spacing w:before="320" w:after="160"/>
        <w:jc w:val="both"/>
        <w:rPr>
          <w:rFonts w:ascii="Simplified Arabic" w:hAnsi="Simplified Arabic" w:cs="Simplified Arabic"/>
        </w:rPr>
      </w:pPr>
      <w:r w:rsidRPr="004E45DD">
        <w:rPr>
          <w:rFonts w:ascii="Simplified Arabic" w:hAnsi="Simplified Arabic" w:cs="Simplified Arabic"/>
          <w:b/>
          <w:bCs/>
          <w:color w:val="13415C"/>
          <w:rtl/>
        </w:rPr>
        <w:lastRenderedPageBreak/>
        <w:t>٤. صياغة استراتيجية بحث فعالة في قواعد البيانات</w:t>
      </w:r>
    </w:p>
    <w:p w14:paraId="513297F9" w14:textId="77777777" w:rsidR="001931C6" w:rsidRPr="004E45DD" w:rsidRDefault="009874BF" w:rsidP="004E45DD">
      <w:pPr>
        <w:spacing w:after="120"/>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البحث العشوائي بكلمة واحدة عامة (مثل «فندق») يُغرق الباحث بنتائج لا صلة لها بموضوعه. ويُنصح باتباع الخطوات الآتية لصياغة استراتيجية بحث دقيقة:</w:t>
      </w:r>
    </w:p>
    <w:p w14:paraId="1CFD078C"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تفكيك عنوان الموضوع إلى مفاهيمه أو متغيراته الرئيسة (مثال: ضغط العمل العاطفي، نية ترك العمل، القطاع الفندقي).</w:t>
      </w:r>
    </w:p>
    <w:p w14:paraId="32174267"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البحث عن المرادفات الإنجليزية الدقيقة لكل مفهوم (Emotional Labor؛ Turnover Intention؛ Hospitality Sector)، لأن أغلب المصادر الرصينة باللغة الإنجليزية.</w:t>
      </w:r>
    </w:p>
    <w:p w14:paraId="415B3A44"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استعمال عوامل الربط المنطقي (AND) لتضييق النتائج بين المفاهيم، و(OR) لتوسيعها بين المرادفات.</w:t>
      </w:r>
    </w:p>
    <w:p w14:paraId="63D71C2A"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تحديد نطاق زمني في محرك البحث (كآخر خمس سنوات) لضمان حداثة المصادر المسترجَعة.</w:t>
      </w:r>
    </w:p>
    <w:p w14:paraId="4E6072D0"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تصفية النتائج بحسب نوع الوثيقة (مقالة مجلة محكَّمة) ونوع الحقل (إدارة أعمال، ضيافة وسياحة).</w:t>
      </w:r>
    </w:p>
    <w:tbl>
      <w:tblPr>
        <w:bidiVisual/>
        <w:tblW w:w="9506" w:type="dxa"/>
        <w:tblBorders>
          <w:top w:val="single" w:sz="4" w:space="0" w:color="B58A2E"/>
          <w:left w:val="single" w:sz="4" w:space="0" w:color="B58A2E"/>
          <w:bottom w:val="single" w:sz="4" w:space="0" w:color="B58A2E"/>
          <w:right w:val="single" w:sz="24" w:space="0" w:color="B58A2E"/>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506"/>
      </w:tblGrid>
      <w:tr w:rsidR="001931C6" w:rsidRPr="004E45DD" w14:paraId="63D5011F" w14:textId="77777777">
        <w:tc>
          <w:tcPr>
            <w:tcW w:w="9506" w:type="dxa"/>
            <w:shd w:val="clear" w:color="auto" w:fill="FBF4E4"/>
            <w:tcMar>
              <w:top w:w="160" w:type="dxa"/>
              <w:left w:w="180" w:type="dxa"/>
              <w:bottom w:w="160" w:type="dxa"/>
              <w:right w:w="180" w:type="dxa"/>
            </w:tcMar>
          </w:tcPr>
          <w:p w14:paraId="6521838E" w14:textId="77777777" w:rsidR="001931C6" w:rsidRPr="004E45DD" w:rsidRDefault="009874BF" w:rsidP="004E45DD">
            <w:pPr>
              <w:spacing w:after="90"/>
              <w:jc w:val="both"/>
              <w:rPr>
                <w:rFonts w:ascii="Simplified Arabic" w:hAnsi="Simplified Arabic" w:cs="Simplified Arabic"/>
                <w:sz w:val="32"/>
                <w:szCs w:val="32"/>
              </w:rPr>
            </w:pPr>
            <w:r w:rsidRPr="004E45DD">
              <w:rPr>
                <w:rFonts w:ascii="Simplified Arabic" w:hAnsi="Simplified Arabic" w:cs="Simplified Arabic"/>
                <w:b/>
                <w:bCs/>
                <w:color w:val="B58A2E"/>
                <w:sz w:val="32"/>
                <w:szCs w:val="32"/>
                <w:rtl/>
              </w:rPr>
              <w:t>مثال على صياغة استراتيجية بحث</w:t>
            </w:r>
          </w:p>
          <w:p w14:paraId="51C0D14D" w14:textId="77777777" w:rsidR="001931C6" w:rsidRPr="004E45DD" w:rsidRDefault="009874BF" w:rsidP="004E45DD">
            <w:pPr>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الموضوع: العلاقة بين ضغط العمل العاطفي ونية ترك العمل لدى موظفي الفنادق.</w:t>
            </w:r>
          </w:p>
          <w:p w14:paraId="6D2A5455" w14:textId="77777777" w:rsidR="001931C6" w:rsidRPr="004E45DD" w:rsidRDefault="009874BF" w:rsidP="004E45DD">
            <w:pPr>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صيغة البحث المقترحة في Scopus: ("emotional labor" OR "emotional exhaustion") AND ("turnover intention") AND ("hotel*" OR "hospitality")</w:t>
            </w:r>
          </w:p>
          <w:p w14:paraId="0BF22729" w14:textId="77777777" w:rsidR="001931C6" w:rsidRPr="004E45DD" w:rsidRDefault="009874BF" w:rsidP="004E45DD">
            <w:pPr>
              <w:spacing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مع تفعيل خيار تحديد السنوات (٢٠٢١–٢٠٢٦) ونوع الوثيقة (Article) ونوع التحكيم (Peer-reviewed) إن توفّر الخيار.</w:t>
            </w:r>
          </w:p>
        </w:tc>
      </w:tr>
    </w:tbl>
    <w:p w14:paraId="7D98E90F" w14:textId="77777777" w:rsidR="001931C6" w:rsidRPr="004E45DD" w:rsidRDefault="009874BF" w:rsidP="004E45DD">
      <w:pPr>
        <w:jc w:val="both"/>
        <w:rPr>
          <w:rFonts w:ascii="Simplified Arabic" w:hAnsi="Simplified Arabic" w:cs="Simplified Arabic"/>
          <w:sz w:val="32"/>
          <w:szCs w:val="32"/>
        </w:rPr>
      </w:pPr>
      <w:r w:rsidRPr="004E45DD">
        <w:rPr>
          <w:rFonts w:ascii="Simplified Arabic" w:hAnsi="Simplified Arabic" w:cs="Simplified Arabic"/>
          <w:sz w:val="32"/>
          <w:szCs w:val="32"/>
        </w:rPr>
        <w:br w:type="page"/>
      </w:r>
    </w:p>
    <w:p w14:paraId="6E31ECBE" w14:textId="77777777" w:rsidR="001931C6" w:rsidRPr="004E45DD" w:rsidRDefault="009874BF" w:rsidP="004E45DD">
      <w:pPr>
        <w:pStyle w:val="Heading1"/>
        <w:pBdr>
          <w:bottom w:val="single" w:sz="12" w:space="6" w:color="B58A2E"/>
        </w:pBdr>
        <w:bidi/>
        <w:spacing w:before="320" w:after="160"/>
        <w:jc w:val="both"/>
        <w:rPr>
          <w:rFonts w:ascii="Simplified Arabic" w:hAnsi="Simplified Arabic" w:cs="Simplified Arabic"/>
        </w:rPr>
      </w:pPr>
      <w:r w:rsidRPr="004E45DD">
        <w:rPr>
          <w:rFonts w:ascii="Simplified Arabic" w:hAnsi="Simplified Arabic" w:cs="Simplified Arabic"/>
          <w:b/>
          <w:bCs/>
          <w:color w:val="13415C"/>
          <w:rtl/>
        </w:rPr>
        <w:lastRenderedPageBreak/>
        <w:t>٥. التحذير من المجلات الوهمية والمفترسة</w:t>
      </w:r>
    </w:p>
    <w:p w14:paraId="0C541E73" w14:textId="77777777" w:rsidR="001931C6" w:rsidRPr="004E45DD" w:rsidRDefault="009874BF" w:rsidP="004E45DD">
      <w:pPr>
        <w:spacing w:after="120"/>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انتشرت في السنوات الأخيرة مجلات تدّعي الرصانة العلمية وتنشر أي بحث مقابل رسم نشر، من دون تحكيم حقيقي؛ وتُعرف هذه الظاهرة بـ«المجلات المفترسة» (Predatory Journals). والاستشهاد بمقالات من هذه المجلات يضعف موثوقية خطة البحث كلها، ولذلك يجب على الطالب التحقق قبل الاستشهاد بأي مصدر.</w:t>
      </w:r>
    </w:p>
    <w:tbl>
      <w:tblPr>
        <w:bidiVisual/>
        <w:tblW w:w="9506" w:type="dxa"/>
        <w:tblBorders>
          <w:top w:val="single" w:sz="6" w:space="0" w:color="13415C"/>
          <w:left w:val="single" w:sz="6" w:space="0" w:color="13415C"/>
          <w:bottom w:val="single" w:sz="6" w:space="0" w:color="13415C"/>
          <w:right w:val="single" w:sz="6" w:space="0" w:color="13415C"/>
          <w:insideH w:val="single" w:sz="2" w:space="0" w:color="B9C7D0"/>
          <w:insideV w:val="single" w:sz="2" w:space="0" w:color="B9C7D0"/>
        </w:tblBorders>
        <w:tblCellMar>
          <w:left w:w="10" w:type="dxa"/>
          <w:right w:w="10" w:type="dxa"/>
        </w:tblCellMar>
        <w:tblLook w:val="0000" w:firstRow="0" w:lastRow="0" w:firstColumn="0" w:lastColumn="0" w:noHBand="0" w:noVBand="0"/>
      </w:tblPr>
      <w:tblGrid>
        <w:gridCol w:w="3200"/>
        <w:gridCol w:w="6306"/>
      </w:tblGrid>
      <w:tr w:rsidR="001931C6" w:rsidRPr="004E45DD" w14:paraId="77DCC1FB" w14:textId="77777777">
        <w:trPr>
          <w:cantSplit/>
          <w:tblHeader/>
        </w:trPr>
        <w:tc>
          <w:tcPr>
            <w:tcW w:w="3200" w:type="dxa"/>
            <w:shd w:val="clear" w:color="auto" w:fill="13415C"/>
            <w:tcMar>
              <w:top w:w="90" w:type="dxa"/>
              <w:left w:w="110" w:type="dxa"/>
              <w:bottom w:w="90" w:type="dxa"/>
              <w:right w:w="110" w:type="dxa"/>
            </w:tcMar>
            <w:vAlign w:val="center"/>
          </w:tcPr>
          <w:p w14:paraId="1220EB23"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b/>
                <w:bCs/>
                <w:color w:val="FFFFFF"/>
                <w:sz w:val="32"/>
                <w:szCs w:val="32"/>
                <w:rtl/>
              </w:rPr>
              <w:t>مؤشر التحذير</w:t>
            </w:r>
          </w:p>
        </w:tc>
        <w:tc>
          <w:tcPr>
            <w:tcW w:w="6306" w:type="dxa"/>
            <w:shd w:val="clear" w:color="auto" w:fill="13415C"/>
            <w:tcMar>
              <w:top w:w="90" w:type="dxa"/>
              <w:left w:w="110" w:type="dxa"/>
              <w:bottom w:w="90" w:type="dxa"/>
              <w:right w:w="110" w:type="dxa"/>
            </w:tcMar>
            <w:vAlign w:val="center"/>
          </w:tcPr>
          <w:p w14:paraId="13E94A86"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b/>
                <w:bCs/>
                <w:color w:val="FFFFFF"/>
                <w:sz w:val="32"/>
                <w:szCs w:val="32"/>
                <w:rtl/>
              </w:rPr>
              <w:t>كيف يُكتشَف</w:t>
            </w:r>
          </w:p>
        </w:tc>
      </w:tr>
      <w:tr w:rsidR="001931C6" w:rsidRPr="004E45DD" w14:paraId="4A2F6EF0" w14:textId="77777777">
        <w:trPr>
          <w:cantSplit/>
        </w:trPr>
        <w:tc>
          <w:tcPr>
            <w:tcW w:w="3200" w:type="dxa"/>
            <w:shd w:val="clear" w:color="auto" w:fill="F5F8FA"/>
            <w:tcMar>
              <w:top w:w="90" w:type="dxa"/>
              <w:left w:w="110" w:type="dxa"/>
              <w:bottom w:w="90" w:type="dxa"/>
              <w:right w:w="110" w:type="dxa"/>
            </w:tcMar>
            <w:vAlign w:val="center"/>
          </w:tcPr>
          <w:p w14:paraId="6B0AA913"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سرعة النشر غير المعقولة</w:t>
            </w:r>
          </w:p>
        </w:tc>
        <w:tc>
          <w:tcPr>
            <w:tcW w:w="6306" w:type="dxa"/>
            <w:shd w:val="clear" w:color="auto" w:fill="F5F8FA"/>
            <w:tcMar>
              <w:top w:w="90" w:type="dxa"/>
              <w:left w:w="110" w:type="dxa"/>
              <w:bottom w:w="90" w:type="dxa"/>
              <w:right w:w="110" w:type="dxa"/>
            </w:tcMar>
            <w:vAlign w:val="center"/>
          </w:tcPr>
          <w:p w14:paraId="13053784"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قبول المقالة ونشرها خلال أيام قليلة من إرسالها، وهو ما يتنافى مع زمن التحكيم العلمي الحقيقي</w:t>
            </w:r>
          </w:p>
        </w:tc>
      </w:tr>
      <w:tr w:rsidR="001931C6" w:rsidRPr="004E45DD" w14:paraId="587B2779" w14:textId="77777777">
        <w:trPr>
          <w:cantSplit/>
        </w:trPr>
        <w:tc>
          <w:tcPr>
            <w:tcW w:w="3200" w:type="dxa"/>
            <w:shd w:val="clear" w:color="auto" w:fill="F5F8FA"/>
            <w:tcMar>
              <w:top w:w="90" w:type="dxa"/>
              <w:left w:w="110" w:type="dxa"/>
              <w:bottom w:w="90" w:type="dxa"/>
              <w:right w:w="110" w:type="dxa"/>
            </w:tcMar>
            <w:vAlign w:val="center"/>
          </w:tcPr>
          <w:p w14:paraId="18BFB891"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غياب المجلة عن الفهارس المعتمدة</w:t>
            </w:r>
          </w:p>
        </w:tc>
        <w:tc>
          <w:tcPr>
            <w:tcW w:w="6306" w:type="dxa"/>
            <w:shd w:val="clear" w:color="auto" w:fill="F5F8FA"/>
            <w:tcMar>
              <w:top w:w="90" w:type="dxa"/>
              <w:left w:w="110" w:type="dxa"/>
              <w:bottom w:w="90" w:type="dxa"/>
              <w:right w:w="110" w:type="dxa"/>
            </w:tcMar>
            <w:vAlign w:val="center"/>
          </w:tcPr>
          <w:p w14:paraId="0E18622E"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عدم ظهورها في Scopus أو Web of Science أو DOAJ رغم ادعائها ذلك</w:t>
            </w:r>
          </w:p>
        </w:tc>
      </w:tr>
      <w:tr w:rsidR="001931C6" w:rsidRPr="004E45DD" w14:paraId="15B9E98C" w14:textId="77777777">
        <w:trPr>
          <w:cantSplit/>
        </w:trPr>
        <w:tc>
          <w:tcPr>
            <w:tcW w:w="3200" w:type="dxa"/>
            <w:shd w:val="clear" w:color="auto" w:fill="F5F8FA"/>
            <w:tcMar>
              <w:top w:w="90" w:type="dxa"/>
              <w:left w:w="110" w:type="dxa"/>
              <w:bottom w:w="90" w:type="dxa"/>
              <w:right w:w="110" w:type="dxa"/>
            </w:tcMar>
            <w:vAlign w:val="center"/>
          </w:tcPr>
          <w:p w14:paraId="07A61F9B"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رسائل الدعوة العشوائية للنشر</w:t>
            </w:r>
          </w:p>
        </w:tc>
        <w:tc>
          <w:tcPr>
            <w:tcW w:w="6306" w:type="dxa"/>
            <w:shd w:val="clear" w:color="auto" w:fill="F5F8FA"/>
            <w:tcMar>
              <w:top w:w="90" w:type="dxa"/>
              <w:left w:w="110" w:type="dxa"/>
              <w:bottom w:w="90" w:type="dxa"/>
              <w:right w:w="110" w:type="dxa"/>
            </w:tcMar>
            <w:vAlign w:val="center"/>
          </w:tcPr>
          <w:p w14:paraId="0B173E33"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تلقّي الباحث دعوات بريدية متكررة للنشر السريع مقابل رسم من مجلة لم يتواصل معها من قبل</w:t>
            </w:r>
          </w:p>
        </w:tc>
      </w:tr>
      <w:tr w:rsidR="001931C6" w:rsidRPr="004E45DD" w14:paraId="7AFA98D8" w14:textId="77777777">
        <w:trPr>
          <w:cantSplit/>
        </w:trPr>
        <w:tc>
          <w:tcPr>
            <w:tcW w:w="3200" w:type="dxa"/>
            <w:shd w:val="clear" w:color="auto" w:fill="F5F8FA"/>
            <w:tcMar>
              <w:top w:w="90" w:type="dxa"/>
              <w:left w:w="110" w:type="dxa"/>
              <w:bottom w:w="90" w:type="dxa"/>
              <w:right w:w="110" w:type="dxa"/>
            </w:tcMar>
            <w:vAlign w:val="center"/>
          </w:tcPr>
          <w:p w14:paraId="18414A1F"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غموض هيئة التحرير</w:t>
            </w:r>
          </w:p>
        </w:tc>
        <w:tc>
          <w:tcPr>
            <w:tcW w:w="6306" w:type="dxa"/>
            <w:shd w:val="clear" w:color="auto" w:fill="F5F8FA"/>
            <w:tcMar>
              <w:top w:w="90" w:type="dxa"/>
              <w:left w:w="110" w:type="dxa"/>
              <w:bottom w:w="90" w:type="dxa"/>
              <w:right w:w="110" w:type="dxa"/>
            </w:tcMar>
            <w:vAlign w:val="center"/>
          </w:tcPr>
          <w:p w14:paraId="1BC54BD3" w14:textId="77777777" w:rsidR="001931C6" w:rsidRPr="004E45DD" w:rsidRDefault="009874BF" w:rsidP="004E45DD">
            <w:pPr>
              <w:spacing w:line="28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عدم وضوح انتماءات المحكّمين أو عدم إمكان التحقق من وجودهم الفعلي في الحقل العلمي</w:t>
            </w:r>
          </w:p>
        </w:tc>
      </w:tr>
    </w:tbl>
    <w:p w14:paraId="7AC68356" w14:textId="77777777" w:rsidR="001931C6" w:rsidRPr="004E45DD" w:rsidRDefault="009874BF" w:rsidP="004E45DD">
      <w:pPr>
        <w:spacing w:before="80" w:after="160"/>
        <w:jc w:val="both"/>
        <w:rPr>
          <w:rFonts w:ascii="Simplified Arabic" w:hAnsi="Simplified Arabic" w:cs="Simplified Arabic"/>
          <w:sz w:val="32"/>
          <w:szCs w:val="32"/>
        </w:rPr>
      </w:pPr>
      <w:r w:rsidRPr="004E45DD">
        <w:rPr>
          <w:rFonts w:ascii="Simplified Arabic" w:hAnsi="Simplified Arabic" w:cs="Simplified Arabic"/>
          <w:i/>
          <w:iCs/>
          <w:color w:val="5A6672"/>
          <w:sz w:val="32"/>
          <w:szCs w:val="32"/>
          <w:rtl/>
        </w:rPr>
        <w:t>جدول (٢): مؤشرات التحذير من المجلات المفترسة</w:t>
      </w:r>
    </w:p>
    <w:p w14:paraId="2CA97799" w14:textId="77777777" w:rsidR="001931C6" w:rsidRPr="004E45DD" w:rsidRDefault="009874BF" w:rsidP="004E45DD">
      <w:pPr>
        <w:spacing w:after="220"/>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والقاعدة العملية البسيطة التي يمكن للطالب اتباعها: لا تستشهد بمصدر إلا بعد التحقق من ظهور المجلة التي نُشر فيها ضمن قاعدة Scopus أو دليل DOAJ.</w:t>
      </w:r>
    </w:p>
    <w:p w14:paraId="7C5DFE12" w14:textId="77777777" w:rsidR="001931C6" w:rsidRPr="004E45DD" w:rsidRDefault="009874BF" w:rsidP="004E45DD">
      <w:pPr>
        <w:pStyle w:val="Heading1"/>
        <w:pBdr>
          <w:bottom w:val="single" w:sz="12" w:space="6" w:color="B58A2E"/>
        </w:pBdr>
        <w:bidi/>
        <w:spacing w:before="320" w:after="160"/>
        <w:jc w:val="both"/>
        <w:rPr>
          <w:rFonts w:ascii="Simplified Arabic" w:hAnsi="Simplified Arabic" w:cs="Simplified Arabic"/>
        </w:rPr>
      </w:pPr>
      <w:r w:rsidRPr="004E45DD">
        <w:rPr>
          <w:rFonts w:ascii="Simplified Arabic" w:hAnsi="Simplified Arabic" w:cs="Simplified Arabic"/>
          <w:b/>
          <w:bCs/>
          <w:color w:val="13415C"/>
          <w:rtl/>
        </w:rPr>
        <w:t>٦. من الدراسات السابقة إلى الفجوة البحثية</w:t>
      </w:r>
    </w:p>
    <w:p w14:paraId="3CE90268" w14:textId="77777777" w:rsidR="001931C6" w:rsidRPr="004E45DD" w:rsidRDefault="009874BF" w:rsidP="004E45DD">
      <w:pPr>
        <w:spacing w:after="120"/>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lastRenderedPageBreak/>
        <w:t>الغاية النهائية من مراجعة الأدبيات ليست سرد ما فعله الآخرون، بل استخراج «الفجوة البحثية» التي يملأها بحثك. وتُشتق هذه الفجوة عادة من أحد الأنماط الآتية بعد مقارنة الدراسات في جدولك التحليلي:</w:t>
      </w:r>
    </w:p>
    <w:p w14:paraId="520E3203"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t xml:space="preserve">فجوة سياقية: </w:t>
      </w:r>
      <w:r w:rsidRPr="004E45DD">
        <w:rPr>
          <w:rFonts w:ascii="Simplified Arabic" w:hAnsi="Simplified Arabic" w:cs="Simplified Arabic"/>
          <w:color w:val="1A1A1A"/>
          <w:sz w:val="32"/>
          <w:szCs w:val="32"/>
          <w:rtl/>
        </w:rPr>
        <w:t>عُولجت العلاقة في بيئات أجنبية أو عربية أخرى، ولم تُختبَر بعد في السياق العراقي أو الفندقي المحلي.</w:t>
      </w:r>
    </w:p>
    <w:p w14:paraId="05A17BF4"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t xml:space="preserve">فجوة في النتائج: </w:t>
      </w:r>
      <w:r w:rsidRPr="004E45DD">
        <w:rPr>
          <w:rFonts w:ascii="Simplified Arabic" w:hAnsi="Simplified Arabic" w:cs="Simplified Arabic"/>
          <w:color w:val="1A1A1A"/>
          <w:sz w:val="32"/>
          <w:szCs w:val="32"/>
          <w:rtl/>
        </w:rPr>
        <w:t>تضاربت نتائج الدراسات السابقة حول اتجاه العلاقة أو قوتها، فيستحق الأمر اختبارًا إضافيًا.</w:t>
      </w:r>
    </w:p>
    <w:p w14:paraId="1F1CF178"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t xml:space="preserve">فجوة منهجية: </w:t>
      </w:r>
      <w:r w:rsidRPr="004E45DD">
        <w:rPr>
          <w:rFonts w:ascii="Simplified Arabic" w:hAnsi="Simplified Arabic" w:cs="Simplified Arabic"/>
          <w:color w:val="1A1A1A"/>
          <w:sz w:val="32"/>
          <w:szCs w:val="32"/>
          <w:rtl/>
        </w:rPr>
        <w:t>اعتمدت الدراسات السابقة منهجًا واحدًا (كيفيًا مثلًا)، ولم تُختبَر الظاهرة كميًا بعد.</w:t>
      </w:r>
    </w:p>
    <w:p w14:paraId="34685A6B"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b/>
          <w:bCs/>
          <w:color w:val="1A1A1A"/>
          <w:sz w:val="32"/>
          <w:szCs w:val="32"/>
          <w:rtl/>
        </w:rPr>
        <w:t xml:space="preserve">فجوة في متغير وسيط أو معدِّل: </w:t>
      </w:r>
      <w:r w:rsidRPr="004E45DD">
        <w:rPr>
          <w:rFonts w:ascii="Simplified Arabic" w:hAnsi="Simplified Arabic" w:cs="Simplified Arabic"/>
          <w:color w:val="1A1A1A"/>
          <w:sz w:val="32"/>
          <w:szCs w:val="32"/>
          <w:rtl/>
        </w:rPr>
        <w:t>دُرست العلاقة المباشرة بين متغيرين، لكن لم يُختبَر بعد دور متغير ثالث قد يفسّر آلية هذه العلاقة أو يغيّر قوتها.</w:t>
      </w:r>
    </w:p>
    <w:p w14:paraId="22617BD6" w14:textId="77777777" w:rsidR="001931C6" w:rsidRPr="004E45DD" w:rsidRDefault="009874BF" w:rsidP="004E45DD">
      <w:pPr>
        <w:jc w:val="both"/>
        <w:rPr>
          <w:rFonts w:ascii="Simplified Arabic" w:hAnsi="Simplified Arabic" w:cs="Simplified Arabic"/>
          <w:sz w:val="32"/>
          <w:szCs w:val="32"/>
        </w:rPr>
      </w:pPr>
      <w:r w:rsidRPr="004E45DD">
        <w:rPr>
          <w:rFonts w:ascii="Simplified Arabic" w:hAnsi="Simplified Arabic" w:cs="Simplified Arabic"/>
          <w:sz w:val="32"/>
          <w:szCs w:val="32"/>
        </w:rPr>
        <w:br w:type="page"/>
      </w:r>
    </w:p>
    <w:p w14:paraId="10D886BA" w14:textId="77777777" w:rsidR="001931C6" w:rsidRPr="004E45DD" w:rsidRDefault="009874BF" w:rsidP="004E45DD">
      <w:pPr>
        <w:pStyle w:val="Heading1"/>
        <w:pBdr>
          <w:bottom w:val="single" w:sz="12" w:space="6" w:color="B58A2E"/>
        </w:pBdr>
        <w:bidi/>
        <w:spacing w:before="320" w:after="160"/>
        <w:jc w:val="both"/>
        <w:rPr>
          <w:rFonts w:ascii="Simplified Arabic" w:hAnsi="Simplified Arabic" w:cs="Simplified Arabic"/>
        </w:rPr>
      </w:pPr>
      <w:r w:rsidRPr="004E45DD">
        <w:rPr>
          <w:rFonts w:ascii="Simplified Arabic" w:hAnsi="Simplified Arabic" w:cs="Simplified Arabic"/>
          <w:b/>
          <w:bCs/>
          <w:color w:val="13415C"/>
          <w:rtl/>
        </w:rPr>
        <w:lastRenderedPageBreak/>
        <w:t>خلاصة المحاضرة</w:t>
      </w:r>
    </w:p>
    <w:p w14:paraId="5DB55A12" w14:textId="77777777" w:rsidR="001931C6" w:rsidRPr="004E45DD" w:rsidRDefault="009874BF" w:rsidP="004E45DD">
      <w:pPr>
        <w:spacing w:after="120"/>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مراجعة الأدبيات ليست إجراءً شكليًا، بل هي الأساس الذي يُبنى عليه الإطار المفاهيمي وتُبرَّر الفرضيات وتُستشَف الفجوة البحثية. وتقوم قراءة منظمة على ثلاث مراحل: مسح سريع، فقراءة تحليلية، فمقارنة نقدية، مسندة إلى جدول تحليل منظم. ولا يصح الاستشهاد إلا بمصادر محكَّمة موثَّقة في قواعد بيانات معتمدة كـScopus وWeb of Science وDOAJ، مع الحذر التام من المجلات المفترسة.</w:t>
      </w:r>
    </w:p>
    <w:p w14:paraId="114D4FD7" w14:textId="77777777" w:rsidR="001931C6" w:rsidRPr="004E45DD" w:rsidRDefault="009874BF" w:rsidP="004E45DD">
      <w:pPr>
        <w:pStyle w:val="Heading1"/>
        <w:pBdr>
          <w:bottom w:val="single" w:sz="12" w:space="6" w:color="B58A2E"/>
        </w:pBdr>
        <w:bidi/>
        <w:spacing w:before="320" w:after="160"/>
        <w:jc w:val="both"/>
        <w:rPr>
          <w:rFonts w:ascii="Simplified Arabic" w:hAnsi="Simplified Arabic" w:cs="Simplified Arabic"/>
        </w:rPr>
      </w:pPr>
      <w:r w:rsidRPr="004E45DD">
        <w:rPr>
          <w:rFonts w:ascii="Simplified Arabic" w:hAnsi="Simplified Arabic" w:cs="Simplified Arabic"/>
          <w:b/>
          <w:bCs/>
          <w:color w:val="13415C"/>
          <w:rtl/>
        </w:rPr>
        <w:t>أسئلة المحاضرة وتمارينها</w:t>
      </w:r>
    </w:p>
    <w:p w14:paraId="5DFCA2C7"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اذكر ثلاث وظائف منهجية لمراجعة الأدبيات في خطة البحث.</w:t>
      </w:r>
    </w:p>
    <w:p w14:paraId="3FFD848F"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صمّم استراتيجية بحث (صيغة كلمات مفتاحية بعوامل الربط المنطقي) لموضوع بحثي من اختيارك.</w:t>
      </w:r>
    </w:p>
    <w:p w14:paraId="7BD33ABC"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اذكر ثلاثة مؤشرات تدلّ على أن مجلة معيّنة قد تكون مفترسة.</w:t>
      </w:r>
    </w:p>
    <w:p w14:paraId="718147DD" w14:textId="77777777" w:rsidR="001931C6" w:rsidRPr="004E45DD" w:rsidRDefault="009874BF" w:rsidP="004E45DD">
      <w:pPr>
        <w:pStyle w:val="ListParagraph"/>
        <w:numPr>
          <w:ilvl w:val="0"/>
          <w:numId w:val="2"/>
        </w:numPr>
        <w:bidi/>
        <w:spacing w:after="70"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فرّق بين الفجوة السياقية والفجوة المنهجية، مع مثال لكل منهما.</w:t>
      </w:r>
    </w:p>
    <w:tbl>
      <w:tblPr>
        <w:bidiVisual/>
        <w:tblW w:w="9506" w:type="dxa"/>
        <w:tblBorders>
          <w:top w:val="single" w:sz="4" w:space="0" w:color="B58A2E"/>
          <w:left w:val="single" w:sz="4" w:space="0" w:color="B58A2E"/>
          <w:bottom w:val="single" w:sz="4" w:space="0" w:color="B58A2E"/>
          <w:right w:val="single" w:sz="24" w:space="0" w:color="B58A2E"/>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506"/>
      </w:tblGrid>
      <w:tr w:rsidR="001931C6" w:rsidRPr="004E45DD" w14:paraId="264D7D52" w14:textId="77777777">
        <w:tc>
          <w:tcPr>
            <w:tcW w:w="9506" w:type="dxa"/>
            <w:shd w:val="clear" w:color="auto" w:fill="FBF4E4"/>
            <w:tcMar>
              <w:top w:w="160" w:type="dxa"/>
              <w:left w:w="180" w:type="dxa"/>
              <w:bottom w:w="160" w:type="dxa"/>
              <w:right w:w="180" w:type="dxa"/>
            </w:tcMar>
          </w:tcPr>
          <w:p w14:paraId="07AED603" w14:textId="77777777" w:rsidR="001931C6" w:rsidRPr="004E45DD" w:rsidRDefault="009874BF" w:rsidP="004E45DD">
            <w:pPr>
              <w:spacing w:after="90"/>
              <w:jc w:val="both"/>
              <w:rPr>
                <w:rFonts w:ascii="Simplified Arabic" w:hAnsi="Simplified Arabic" w:cs="Simplified Arabic"/>
                <w:sz w:val="32"/>
                <w:szCs w:val="32"/>
              </w:rPr>
            </w:pPr>
            <w:r w:rsidRPr="004E45DD">
              <w:rPr>
                <w:rFonts w:ascii="Simplified Arabic" w:hAnsi="Simplified Arabic" w:cs="Simplified Arabic"/>
                <w:b/>
                <w:bCs/>
                <w:color w:val="B58A2E"/>
                <w:sz w:val="32"/>
                <w:szCs w:val="32"/>
                <w:rtl/>
              </w:rPr>
              <w:t>الواجب التطبيقي (يُسلَّم في المحاضرة القادمة)</w:t>
            </w:r>
          </w:p>
          <w:p w14:paraId="5954D3C8" w14:textId="77777777" w:rsidR="001931C6" w:rsidRPr="004E45DD" w:rsidRDefault="009874BF" w:rsidP="004E45DD">
            <w:pPr>
              <w:spacing w:line="300" w:lineRule="auto"/>
              <w:jc w:val="both"/>
              <w:rPr>
                <w:rFonts w:ascii="Simplified Arabic" w:hAnsi="Simplified Arabic" w:cs="Simplified Arabic"/>
                <w:sz w:val="32"/>
                <w:szCs w:val="32"/>
              </w:rPr>
            </w:pPr>
            <w:r w:rsidRPr="004E45DD">
              <w:rPr>
                <w:rFonts w:ascii="Simplified Arabic" w:hAnsi="Simplified Arabic" w:cs="Simplified Arabic"/>
                <w:color w:val="1A1A1A"/>
                <w:sz w:val="32"/>
                <w:szCs w:val="32"/>
                <w:rtl/>
              </w:rPr>
              <w:t>ابحث عن ثمانٍ إلى عشر دراسات سابقة ذات صلة بمشكلة بحثك من إحدى قواعد البيانات المذكورة، وأنشئ جدول تحليل الدراسات السابقة (المؤلف والسنة، الهدف، المتغيرات، المنهج والعيّنة، أبرز النتائج)، واختم بفقرة قصيرة تحدد فيها نوع الفجوة البحثية التي اكتشفتها.</w:t>
            </w:r>
          </w:p>
        </w:tc>
      </w:tr>
    </w:tbl>
    <w:p w14:paraId="05CD6838" w14:textId="77777777" w:rsidR="00C41907" w:rsidRPr="004E45DD" w:rsidRDefault="00C41907" w:rsidP="004E45DD">
      <w:pPr>
        <w:jc w:val="both"/>
        <w:rPr>
          <w:rFonts w:ascii="Simplified Arabic" w:hAnsi="Simplified Arabic" w:cs="Simplified Arabic"/>
          <w:sz w:val="32"/>
          <w:szCs w:val="32"/>
        </w:rPr>
      </w:pPr>
    </w:p>
    <w:sectPr w:rsidR="00C41907" w:rsidRPr="004E45DD">
      <w:headerReference w:type="default" r:id="rId7"/>
      <w:footerReference w:type="default" r:id="rId8"/>
      <w:headerReference w:type="first" r:id="rId9"/>
      <w:footerReference w:type="first" r:id="rId10"/>
      <w:pgSz w:w="11906" w:h="16838"/>
      <w:pgMar w:top="1200" w:right="1200" w:bottom="1200" w:left="12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C9117" w14:textId="77777777" w:rsidR="00A3416D" w:rsidRDefault="00A3416D">
      <w:pPr>
        <w:spacing w:line="240" w:lineRule="auto"/>
      </w:pPr>
      <w:r>
        <w:separator/>
      </w:r>
    </w:p>
  </w:endnote>
  <w:endnote w:type="continuationSeparator" w:id="0">
    <w:p w14:paraId="0F844A88" w14:textId="77777777" w:rsidR="00A3416D" w:rsidRDefault="00A341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EC9D5" w14:textId="77777777" w:rsidR="001931C6" w:rsidRDefault="009874BF">
    <w:pPr>
      <w:jc w:val="center"/>
    </w:pPr>
    <w:r>
      <w:rPr>
        <w:color w:val="5A6672"/>
        <w:sz w:val="18"/>
        <w:szCs w:val="18"/>
      </w:rPr>
      <w:t xml:space="preserve">— </w:t>
    </w:r>
    <w:r>
      <w:rPr>
        <w:color w:val="5A6672"/>
        <w:sz w:val="18"/>
        <w:szCs w:val="18"/>
      </w:rPr>
      <w:fldChar w:fldCharType="begin"/>
    </w:r>
    <w:r>
      <w:rPr>
        <w:color w:val="5A6672"/>
        <w:sz w:val="18"/>
        <w:szCs w:val="18"/>
      </w:rPr>
      <w:instrText>PAGE</w:instrText>
    </w:r>
    <w:r>
      <w:rPr>
        <w:color w:val="5A6672"/>
        <w:sz w:val="18"/>
        <w:szCs w:val="18"/>
      </w:rPr>
      <w:fldChar w:fldCharType="separate"/>
    </w:r>
    <w:r>
      <w:rPr>
        <w:noProof/>
        <w:color w:val="5A6672"/>
        <w:sz w:val="18"/>
        <w:szCs w:val="18"/>
        <w:rtl/>
      </w:rPr>
      <w:t>2</w:t>
    </w:r>
    <w:r>
      <w:rPr>
        <w:color w:val="5A6672"/>
        <w:sz w:val="18"/>
        <w:szCs w:val="18"/>
      </w:rPr>
      <w:fldChar w:fldCharType="end"/>
    </w:r>
    <w:r>
      <w:rPr>
        <w:color w:val="5A6672"/>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E90C1" w14:textId="77777777" w:rsidR="001931C6" w:rsidRDefault="001931C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1A4C2" w14:textId="77777777" w:rsidR="00A3416D" w:rsidRDefault="00A3416D">
      <w:pPr>
        <w:spacing w:line="240" w:lineRule="auto"/>
      </w:pPr>
      <w:r>
        <w:separator/>
      </w:r>
    </w:p>
  </w:footnote>
  <w:footnote w:type="continuationSeparator" w:id="0">
    <w:p w14:paraId="1525ED57" w14:textId="77777777" w:rsidR="00A3416D" w:rsidRDefault="00A3416D">
      <w:pPr>
        <w:spacing w:line="240" w:lineRule="auto"/>
      </w:pPr>
      <w:r>
        <w:continuationSeparator/>
      </w:r>
    </w:p>
  </w:footnote>
  <w:footnote w:id="1">
    <w:p w14:paraId="5CD64188" w14:textId="77777777" w:rsidR="001931C6" w:rsidRDefault="009874BF">
      <w:pPr>
        <w:bidi w:val="0"/>
        <w:spacing w:line="260" w:lineRule="auto"/>
      </w:pPr>
      <w:r>
        <w:rPr>
          <w:rStyle w:val="FootnoteReference"/>
        </w:rPr>
        <w:footnoteRef/>
      </w:r>
      <w:r>
        <w:rPr>
          <w:color w:val="44505A"/>
          <w:sz w:val="18"/>
          <w:szCs w:val="18"/>
        </w:rPr>
        <w:t>Creswell, J. W., &amp; Creswell, J. D. (2023). Research Design: Qualitative, Quantitative, and Mixed Methods Approaches (6th ed.). SAGE.</w:t>
      </w:r>
    </w:p>
  </w:footnote>
  <w:footnote w:id="2">
    <w:p w14:paraId="229CF0F9" w14:textId="77777777" w:rsidR="001931C6" w:rsidRDefault="009874BF">
      <w:pPr>
        <w:bidi w:val="0"/>
        <w:spacing w:line="260" w:lineRule="auto"/>
      </w:pPr>
      <w:r>
        <w:rPr>
          <w:rStyle w:val="FootnoteReference"/>
        </w:rPr>
        <w:footnoteRef/>
      </w:r>
      <w:r>
        <w:rPr>
          <w:color w:val="44505A"/>
          <w:sz w:val="18"/>
          <w:szCs w:val="18"/>
        </w:rPr>
        <w:t>Quinlan, C., Babin, B. J., Carr, J. C., Griffin, M., &amp; Zikmund, W. G. (2024). Business Research Methods (3rd ed.). Cengage Learning EMEA.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627FB" w14:textId="77777777" w:rsidR="001931C6" w:rsidRDefault="009874BF">
    <w:pPr>
      <w:pBdr>
        <w:bottom w:val="single" w:sz="6" w:space="3" w:color="B58A2E"/>
      </w:pBdr>
      <w:spacing w:after="40"/>
      <w:jc w:val="right"/>
    </w:pPr>
    <w:r>
      <w:rPr>
        <w:color w:val="5A6672"/>
        <w:sz w:val="18"/>
        <w:szCs w:val="18"/>
        <w:rtl/>
      </w:rPr>
      <w:t>المحاضرة الثالثة: مراجعة الأدبيات والدراسات السابقة | أساليب البحث العلمي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A824B" w14:textId="77777777" w:rsidR="001931C6" w:rsidRDefault="001931C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C7D07"/>
    <w:multiLevelType w:val="hybridMultilevel"/>
    <w:tmpl w:val="92648EDA"/>
    <w:lvl w:ilvl="0" w:tplc="D44865B8">
      <w:start w:val="1"/>
      <w:numFmt w:val="bullet"/>
      <w:lvlText w:val="●"/>
      <w:lvlJc w:val="left"/>
      <w:pPr>
        <w:ind w:left="720" w:hanging="360"/>
      </w:pPr>
    </w:lvl>
    <w:lvl w:ilvl="1" w:tplc="D9C4D6E8">
      <w:start w:val="1"/>
      <w:numFmt w:val="bullet"/>
      <w:lvlText w:val="○"/>
      <w:lvlJc w:val="left"/>
      <w:pPr>
        <w:ind w:left="1440" w:hanging="360"/>
      </w:pPr>
    </w:lvl>
    <w:lvl w:ilvl="2" w:tplc="156083A4">
      <w:start w:val="1"/>
      <w:numFmt w:val="bullet"/>
      <w:lvlText w:val="■"/>
      <w:lvlJc w:val="left"/>
      <w:pPr>
        <w:ind w:left="2160" w:hanging="360"/>
      </w:pPr>
    </w:lvl>
    <w:lvl w:ilvl="3" w:tplc="CEAAE420">
      <w:start w:val="1"/>
      <w:numFmt w:val="bullet"/>
      <w:lvlText w:val="●"/>
      <w:lvlJc w:val="left"/>
      <w:pPr>
        <w:ind w:left="2880" w:hanging="360"/>
      </w:pPr>
    </w:lvl>
    <w:lvl w:ilvl="4" w:tplc="26AE254C">
      <w:start w:val="1"/>
      <w:numFmt w:val="bullet"/>
      <w:lvlText w:val="○"/>
      <w:lvlJc w:val="left"/>
      <w:pPr>
        <w:ind w:left="3600" w:hanging="360"/>
      </w:pPr>
    </w:lvl>
    <w:lvl w:ilvl="5" w:tplc="2A264698">
      <w:start w:val="1"/>
      <w:numFmt w:val="bullet"/>
      <w:lvlText w:val="■"/>
      <w:lvlJc w:val="left"/>
      <w:pPr>
        <w:ind w:left="4320" w:hanging="360"/>
      </w:pPr>
    </w:lvl>
    <w:lvl w:ilvl="6" w:tplc="C666DD16">
      <w:start w:val="1"/>
      <w:numFmt w:val="bullet"/>
      <w:lvlText w:val="●"/>
      <w:lvlJc w:val="left"/>
      <w:pPr>
        <w:ind w:left="5040" w:hanging="360"/>
      </w:pPr>
    </w:lvl>
    <w:lvl w:ilvl="7" w:tplc="5672BADA">
      <w:start w:val="1"/>
      <w:numFmt w:val="bullet"/>
      <w:lvlText w:val="●"/>
      <w:lvlJc w:val="left"/>
      <w:pPr>
        <w:ind w:left="5760" w:hanging="360"/>
      </w:pPr>
    </w:lvl>
    <w:lvl w:ilvl="8" w:tplc="C3DA0FC6">
      <w:start w:val="1"/>
      <w:numFmt w:val="bullet"/>
      <w:lvlText w:val="●"/>
      <w:lvlJc w:val="left"/>
      <w:pPr>
        <w:ind w:left="6480" w:hanging="360"/>
      </w:pPr>
    </w:lvl>
  </w:abstractNum>
  <w:abstractNum w:abstractNumId="1" w15:restartNumberingAfterBreak="0">
    <w:nsid w:val="3EEE0415"/>
    <w:multiLevelType w:val="hybridMultilevel"/>
    <w:tmpl w:val="875E8340"/>
    <w:lvl w:ilvl="0" w:tplc="C068D78C">
      <w:start w:val="1"/>
      <w:numFmt w:val="bullet"/>
      <w:lvlText w:val="▪"/>
      <w:lvlJc w:val="right"/>
      <w:pPr>
        <w:ind w:right="400" w:hanging="260"/>
      </w:pPr>
      <w:rPr>
        <w:color w:val="B58A2E"/>
        <w:sz w:val="24"/>
        <w:szCs w:val="24"/>
      </w:rPr>
    </w:lvl>
    <w:lvl w:ilvl="1" w:tplc="B60C6A3C">
      <w:start w:val="1"/>
      <w:numFmt w:val="bullet"/>
      <w:lvlText w:val="–"/>
      <w:lvlJc w:val="right"/>
      <w:pPr>
        <w:ind w:right="800" w:hanging="260"/>
      </w:pPr>
      <w:rPr>
        <w:color w:val="1F7A8C"/>
        <w:sz w:val="24"/>
        <w:szCs w:val="24"/>
      </w:rPr>
    </w:lvl>
    <w:lvl w:ilvl="2" w:tplc="18BE7F54">
      <w:numFmt w:val="decimal"/>
      <w:lvlText w:val=""/>
      <w:lvlJc w:val="left"/>
    </w:lvl>
    <w:lvl w:ilvl="3" w:tplc="34B46DA6">
      <w:numFmt w:val="decimal"/>
      <w:lvlText w:val=""/>
      <w:lvlJc w:val="left"/>
    </w:lvl>
    <w:lvl w:ilvl="4" w:tplc="D476728A">
      <w:numFmt w:val="decimal"/>
      <w:lvlText w:val=""/>
      <w:lvlJc w:val="left"/>
    </w:lvl>
    <w:lvl w:ilvl="5" w:tplc="879023CA">
      <w:numFmt w:val="decimal"/>
      <w:lvlText w:val=""/>
      <w:lvlJc w:val="left"/>
    </w:lvl>
    <w:lvl w:ilvl="6" w:tplc="754ED4BA">
      <w:numFmt w:val="decimal"/>
      <w:lvlText w:val=""/>
      <w:lvlJc w:val="left"/>
    </w:lvl>
    <w:lvl w:ilvl="7" w:tplc="5A386FEA">
      <w:numFmt w:val="decimal"/>
      <w:lvlText w:val=""/>
      <w:lvlJc w:val="left"/>
    </w:lvl>
    <w:lvl w:ilvl="8" w:tplc="C1BC0206">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1C6"/>
    <w:rsid w:val="001931C6"/>
    <w:rsid w:val="004E45DD"/>
    <w:rsid w:val="009874BF"/>
    <w:rsid w:val="00A3416D"/>
    <w:rsid w:val="00C419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B0FD1"/>
  <w15:docId w15:val="{B47EE66A-495B-41B5-B177-0131BB0D2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1139</Words>
  <Characters>6493</Characters>
  <Application>Microsoft Office Word</Application>
  <DocSecurity>0</DocSecurity>
  <Lines>54</Lines>
  <Paragraphs>15</Paragraphs>
  <ScaleCrop>false</ScaleCrop>
  <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Hasan  Mutashar Gbouri</cp:lastModifiedBy>
  <cp:revision>3</cp:revision>
  <dcterms:created xsi:type="dcterms:W3CDTF">2026-08-24T22:22:00Z</dcterms:created>
  <dcterms:modified xsi:type="dcterms:W3CDTF">2026-08-25T04:49:00Z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977d6120-6b9a-4d8d-a4fb-0ecba04a9236</vt:lpwstr>
  </property>
</Properties>
</file>