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خنجر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مزيد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رياض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الاطفال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الروضة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يعد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الاحتياجات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الروضة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ومتوازن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فالطفل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استكشافه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والاستقرار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والتفاعل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إيجابي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الروضة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بالنفس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بالأمان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مشاعره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وآرائه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خوف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تنمية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الاستقلالية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استعداد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لاستكشاف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بيئته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القدرة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الشعور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التركيز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والانتباه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يعزز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المعرفية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4. </w:t>
      </w:r>
      <w:r w:rsidDel="00000000" w:rsidR="00000000" w:rsidRPr="00000000">
        <w:rPr>
          <w:rtl w:val="1"/>
        </w:rPr>
        <w:t xml:space="preserve">التحكم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المشاعر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يساعد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اللجوء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الغضب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المفرط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5. </w:t>
      </w: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والتفاعل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زملائه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ومعلميه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بثقة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1"/>
        </w:rPr>
        <w:t xml:space="preserve">عوامل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الروضة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الأسرة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توفير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بالأمان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المعلمون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الروضة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داعمين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ويشجعون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بحرية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الروتين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يساعد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شعور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بالاستقرار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4. </w:t>
      </w:r>
      <w:r w:rsidDel="00000000" w:rsidR="00000000" w:rsidRPr="00000000">
        <w:rPr>
          <w:rtl w:val="1"/>
        </w:rPr>
        <w:t xml:space="preserve">التعامل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المشاعر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مشاعره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يمنحه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الإحساس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العاطفي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5. </w:t>
      </w:r>
      <w:r w:rsidDel="00000000" w:rsidR="00000000" w:rsidRPr="00000000">
        <w:rPr>
          <w:rtl w:val="1"/>
        </w:rPr>
        <w:t xml:space="preserve">تفادي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القاسي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الأساليب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الإيجابية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اللفظي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الروضة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1"/>
        </w:rPr>
        <w:t xml:space="preserve">إظهار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والاهتمام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العناق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الابتسامة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والتشجيع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الدائم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1"/>
        </w:rPr>
        <w:t xml:space="preserve">الاستماع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الطفل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إعطاؤه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للتعبير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مشاعره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وأفكاره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مقاطعة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شأنه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1"/>
        </w:rPr>
        <w:t xml:space="preserve">تعليمه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والخوف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المشاعر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والرسم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واللعب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كوسيلة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للتعبير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1"/>
        </w:rPr>
        <w:t xml:space="preserve">توفير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والروضة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خالية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التهديد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اللفظي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الجسدي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1"/>
        </w:rPr>
        <w:t xml:space="preserve">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الاستقلالية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تشجيع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بنفسه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ارتداء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ملابسه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ترتيب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ألعابه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الروضة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لنموه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ويسهم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متوازنة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واطمئنان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