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969" w:rsidRDefault="00BE0969" w:rsidP="00BE0969">
      <w:pPr>
        <w:pStyle w:val="Default"/>
      </w:pPr>
    </w:p>
    <w:p w:rsidR="00BE0969" w:rsidRPr="00BE0969" w:rsidRDefault="00BE0969" w:rsidP="00BE0969">
      <w:pPr>
        <w:pStyle w:val="Default"/>
        <w:rPr>
          <w:rFonts w:asciiTheme="majorBidi" w:hAnsiTheme="majorBidi" w:cstheme="majorBidi"/>
          <w:b/>
          <w:bCs/>
          <w:sz w:val="48"/>
          <w:szCs w:val="48"/>
        </w:rPr>
      </w:pPr>
      <w:r>
        <w:t xml:space="preserve"> </w:t>
      </w:r>
      <w:r w:rsidRPr="00BE0969">
        <w:rPr>
          <w:rFonts w:asciiTheme="majorBidi" w:hAnsiTheme="majorBidi" w:cstheme="majorBidi"/>
          <w:b/>
          <w:bCs/>
          <w:sz w:val="48"/>
          <w:szCs w:val="48"/>
        </w:rPr>
        <w:t>Poliomyelitis</w:t>
      </w:r>
      <w:r>
        <w:rPr>
          <w:rFonts w:asciiTheme="majorBidi" w:hAnsiTheme="majorBidi" w:cstheme="majorBidi"/>
          <w:b/>
          <w:bCs/>
          <w:sz w:val="48"/>
          <w:szCs w:val="48"/>
        </w:rPr>
        <w:t xml:space="preserve"> </w:t>
      </w:r>
      <w:r w:rsidRPr="00BE0969">
        <w:rPr>
          <w:rFonts w:asciiTheme="majorBidi" w:hAnsiTheme="majorBidi" w:cstheme="majorBidi"/>
          <w:b/>
          <w:bCs/>
          <w:sz w:val="48"/>
          <w:szCs w:val="48"/>
        </w:rPr>
        <w:t>and Acute Flaccid Paralysis</w:t>
      </w:r>
    </w:p>
    <w:p w:rsidR="00BE0969" w:rsidRDefault="00BE0969" w:rsidP="00BE0969">
      <w:pPr>
        <w:pStyle w:val="Default"/>
        <w:rPr>
          <w:rFonts w:ascii="Arial" w:hAnsi="Arial" w:cs="Arial"/>
          <w:sz w:val="22"/>
          <w:szCs w:val="22"/>
        </w:rPr>
      </w:pPr>
    </w:p>
    <w:p w:rsidR="00BE0969" w:rsidRDefault="00BE0969" w:rsidP="008D2D9A">
      <w:pPr>
        <w:pStyle w:val="Default"/>
        <w:numPr>
          <w:ilvl w:val="0"/>
          <w:numId w:val="1"/>
        </w:numPr>
        <w:spacing w:line="276" w:lineRule="auto"/>
        <w:rPr>
          <w:rFonts w:asciiTheme="majorBidi" w:hAnsiTheme="majorBidi" w:cstheme="majorBidi"/>
          <w:sz w:val="28"/>
          <w:szCs w:val="28"/>
        </w:rPr>
      </w:pPr>
      <w:r w:rsidRPr="00BE0969">
        <w:rPr>
          <w:rFonts w:asciiTheme="majorBidi" w:hAnsiTheme="majorBidi" w:cstheme="majorBidi"/>
          <w:sz w:val="28"/>
          <w:szCs w:val="28"/>
        </w:rPr>
        <w:t xml:space="preserve">Poliovirus infection is </w:t>
      </w:r>
      <w:r w:rsidRPr="00BE0969">
        <w:rPr>
          <w:rFonts w:asciiTheme="majorBidi" w:hAnsiTheme="majorBidi" w:cstheme="majorBidi"/>
          <w:b/>
          <w:bCs/>
          <w:sz w:val="28"/>
          <w:szCs w:val="28"/>
        </w:rPr>
        <w:t xml:space="preserve">subclinical in 90–95% </w:t>
      </w:r>
      <w:r>
        <w:rPr>
          <w:rFonts w:asciiTheme="majorBidi" w:hAnsiTheme="majorBidi" w:cstheme="majorBidi"/>
          <w:sz w:val="28"/>
          <w:szCs w:val="28"/>
        </w:rPr>
        <w:t>of cases.</w:t>
      </w:r>
    </w:p>
    <w:p w:rsidR="00BE0969" w:rsidRDefault="00BE0969" w:rsidP="008D2D9A">
      <w:pPr>
        <w:pStyle w:val="Default"/>
        <w:numPr>
          <w:ilvl w:val="0"/>
          <w:numId w:val="1"/>
        </w:numPr>
        <w:spacing w:line="276" w:lineRule="auto"/>
        <w:rPr>
          <w:rFonts w:asciiTheme="majorBidi" w:hAnsiTheme="majorBidi" w:cstheme="majorBidi"/>
          <w:sz w:val="28"/>
          <w:szCs w:val="28"/>
        </w:rPr>
      </w:pPr>
      <w:r w:rsidRPr="00BE0969">
        <w:rPr>
          <w:rFonts w:asciiTheme="majorBidi" w:hAnsiTheme="majorBidi" w:cstheme="majorBidi"/>
          <w:sz w:val="28"/>
          <w:szCs w:val="28"/>
        </w:rPr>
        <w:t xml:space="preserve"> it causes </w:t>
      </w:r>
      <w:r w:rsidRPr="00BE0969">
        <w:rPr>
          <w:rFonts w:asciiTheme="majorBidi" w:hAnsiTheme="majorBidi" w:cstheme="majorBidi"/>
          <w:b/>
          <w:bCs/>
          <w:sz w:val="28"/>
          <w:szCs w:val="28"/>
        </w:rPr>
        <w:t xml:space="preserve">nonspecific </w:t>
      </w:r>
      <w:r w:rsidRPr="00BE0969">
        <w:rPr>
          <w:rFonts w:asciiTheme="majorBidi" w:hAnsiTheme="majorBidi" w:cstheme="majorBidi"/>
          <w:sz w:val="28"/>
          <w:szCs w:val="28"/>
        </w:rPr>
        <w:t xml:space="preserve">febrile illness in about 5% of cases and </w:t>
      </w:r>
      <w:r w:rsidRPr="00BE0969">
        <w:rPr>
          <w:rFonts w:asciiTheme="majorBidi" w:hAnsiTheme="majorBidi" w:cstheme="majorBidi"/>
          <w:b/>
          <w:bCs/>
          <w:sz w:val="28"/>
          <w:szCs w:val="28"/>
        </w:rPr>
        <w:t xml:space="preserve">aseptic meningitis </w:t>
      </w:r>
      <w:r w:rsidRPr="00BE0969">
        <w:rPr>
          <w:rFonts w:asciiTheme="majorBidi" w:hAnsiTheme="majorBidi" w:cstheme="majorBidi"/>
          <w:sz w:val="28"/>
          <w:szCs w:val="28"/>
        </w:rPr>
        <w:t xml:space="preserve">or </w:t>
      </w:r>
      <w:r w:rsidRPr="00BE0969">
        <w:rPr>
          <w:rFonts w:asciiTheme="majorBidi" w:hAnsiTheme="majorBidi" w:cstheme="majorBidi"/>
          <w:b/>
          <w:bCs/>
          <w:sz w:val="28"/>
          <w:szCs w:val="28"/>
        </w:rPr>
        <w:t xml:space="preserve">paralytic disease </w:t>
      </w:r>
      <w:r w:rsidRPr="00BE0969">
        <w:rPr>
          <w:rFonts w:asciiTheme="majorBidi" w:hAnsiTheme="majorBidi" w:cstheme="majorBidi"/>
          <w:sz w:val="28"/>
          <w:szCs w:val="28"/>
        </w:rPr>
        <w:t xml:space="preserve">in 1–3%. </w:t>
      </w:r>
    </w:p>
    <w:p w:rsidR="00BE0969" w:rsidRDefault="00BE0969" w:rsidP="008D2D9A">
      <w:pPr>
        <w:pStyle w:val="Default"/>
        <w:numPr>
          <w:ilvl w:val="0"/>
          <w:numId w:val="1"/>
        </w:numPr>
        <w:spacing w:line="276" w:lineRule="auto"/>
        <w:rPr>
          <w:rFonts w:asciiTheme="majorBidi" w:hAnsiTheme="majorBidi" w:cstheme="majorBidi"/>
          <w:sz w:val="28"/>
          <w:szCs w:val="28"/>
        </w:rPr>
      </w:pPr>
      <w:r w:rsidRPr="00BE0969">
        <w:rPr>
          <w:rFonts w:asciiTheme="majorBidi" w:hAnsiTheme="majorBidi" w:cstheme="majorBidi"/>
          <w:sz w:val="28"/>
          <w:szCs w:val="28"/>
        </w:rPr>
        <w:t xml:space="preserve">In endemic areas, older children and adults are immune because of prior unapparent infections. </w:t>
      </w:r>
    </w:p>
    <w:p w:rsidR="00BE0969" w:rsidRDefault="00BE0969" w:rsidP="008D2D9A">
      <w:pPr>
        <w:pStyle w:val="Default"/>
        <w:numPr>
          <w:ilvl w:val="0"/>
          <w:numId w:val="1"/>
        </w:numPr>
        <w:spacing w:line="276" w:lineRule="auto"/>
        <w:rPr>
          <w:rFonts w:asciiTheme="majorBidi" w:hAnsiTheme="majorBidi" w:cstheme="majorBidi"/>
          <w:sz w:val="28"/>
          <w:szCs w:val="28"/>
        </w:rPr>
      </w:pPr>
      <w:r w:rsidRPr="00BE0969">
        <w:rPr>
          <w:rFonts w:asciiTheme="majorBidi" w:hAnsiTheme="majorBidi" w:cstheme="majorBidi"/>
          <w:sz w:val="28"/>
          <w:szCs w:val="28"/>
        </w:rPr>
        <w:t xml:space="preserve">Occasional cases in the developed countries occur in patients who have traveled to foreign countries; most cases were in </w:t>
      </w:r>
      <w:proofErr w:type="spellStart"/>
      <w:r w:rsidRPr="00BE0969">
        <w:rPr>
          <w:rFonts w:asciiTheme="majorBidi" w:hAnsiTheme="majorBidi" w:cstheme="majorBidi"/>
          <w:sz w:val="28"/>
          <w:szCs w:val="28"/>
        </w:rPr>
        <w:t>immunodeficient</w:t>
      </w:r>
      <w:proofErr w:type="spellEnd"/>
      <w:r w:rsidRPr="00BE0969">
        <w:rPr>
          <w:rFonts w:asciiTheme="majorBidi" w:hAnsiTheme="majorBidi" w:cstheme="majorBidi"/>
          <w:sz w:val="28"/>
          <w:szCs w:val="28"/>
        </w:rPr>
        <w:t xml:space="preserve"> patients who received the poliovirus vaccine or were exposed to recent </w:t>
      </w:r>
      <w:proofErr w:type="spellStart"/>
      <w:r w:rsidRPr="00BE0969">
        <w:rPr>
          <w:rFonts w:asciiTheme="majorBidi" w:hAnsiTheme="majorBidi" w:cstheme="majorBidi"/>
          <w:sz w:val="28"/>
          <w:szCs w:val="28"/>
        </w:rPr>
        <w:t>vaccinees</w:t>
      </w:r>
      <w:proofErr w:type="spellEnd"/>
      <w:r w:rsidRPr="00BE0969">
        <w:rPr>
          <w:rFonts w:asciiTheme="majorBidi" w:hAnsiTheme="majorBidi" w:cstheme="majorBidi"/>
          <w:sz w:val="28"/>
          <w:szCs w:val="28"/>
        </w:rPr>
        <w:t xml:space="preserve">. </w:t>
      </w:r>
    </w:p>
    <w:p w:rsidR="00BE0969" w:rsidRPr="00BE0969" w:rsidRDefault="00BE0969" w:rsidP="008D2D9A">
      <w:pPr>
        <w:pStyle w:val="Default"/>
        <w:numPr>
          <w:ilvl w:val="0"/>
          <w:numId w:val="1"/>
        </w:numPr>
        <w:spacing w:line="276" w:lineRule="auto"/>
        <w:rPr>
          <w:rFonts w:asciiTheme="majorBidi" w:hAnsiTheme="majorBidi" w:cstheme="majorBidi"/>
          <w:sz w:val="28"/>
          <w:szCs w:val="28"/>
        </w:rPr>
      </w:pPr>
      <w:r w:rsidRPr="00BE0969">
        <w:rPr>
          <w:rFonts w:asciiTheme="majorBidi" w:hAnsiTheme="majorBidi" w:cstheme="majorBidi"/>
          <w:sz w:val="28"/>
          <w:szCs w:val="28"/>
        </w:rPr>
        <w:t xml:space="preserve">Severe poliovirus infections rarely follow oral poliovirus vaccination as a result of "reversion" of the vaccine virus. The incidence of </w:t>
      </w:r>
      <w:r w:rsidRPr="00BE0969">
        <w:rPr>
          <w:rFonts w:asciiTheme="majorBidi" w:hAnsiTheme="majorBidi" w:cstheme="majorBidi"/>
          <w:b/>
          <w:bCs/>
          <w:sz w:val="28"/>
          <w:szCs w:val="28"/>
        </w:rPr>
        <w:t xml:space="preserve">vaccine associated paralytic poliomyelitis (VAPP) </w:t>
      </w:r>
      <w:r w:rsidRPr="00BE0969">
        <w:rPr>
          <w:rFonts w:asciiTheme="majorBidi" w:hAnsiTheme="majorBidi" w:cstheme="majorBidi"/>
          <w:sz w:val="28"/>
          <w:szCs w:val="28"/>
        </w:rPr>
        <w:t xml:space="preserve">in the United States has been 1:750,000 and 1:2.4 million doses for the first and second dose of oral polio vaccine (OPV), respectively. Although rare, VAPP has been more common than wild-type poliomyelitis in the United States since the 1980s. This led to changes in the recommended immunization regimen, substituting inactivated polio vaccine (IPV) for OPV. </w:t>
      </w:r>
    </w:p>
    <w:p w:rsidR="008D2D9A" w:rsidRDefault="008D2D9A" w:rsidP="00BE0969">
      <w:pPr>
        <w:pStyle w:val="Default"/>
        <w:rPr>
          <w:rFonts w:asciiTheme="majorBidi" w:hAnsiTheme="majorBidi" w:cstheme="majorBidi"/>
          <w:sz w:val="28"/>
          <w:szCs w:val="28"/>
        </w:rPr>
      </w:pPr>
    </w:p>
    <w:p w:rsidR="008D2D9A" w:rsidRDefault="008D2D9A" w:rsidP="00BE0969">
      <w:pPr>
        <w:pStyle w:val="Default"/>
        <w:rPr>
          <w:rFonts w:asciiTheme="majorBidi" w:hAnsiTheme="majorBidi" w:cstheme="majorBidi"/>
          <w:b/>
          <w:bCs/>
          <w:sz w:val="32"/>
          <w:szCs w:val="32"/>
        </w:rPr>
      </w:pPr>
    </w:p>
    <w:p w:rsidR="008D2D9A" w:rsidRPr="008D2D9A" w:rsidRDefault="00BE0969" w:rsidP="00BE0969">
      <w:pPr>
        <w:pStyle w:val="Default"/>
        <w:rPr>
          <w:rFonts w:asciiTheme="majorBidi" w:hAnsiTheme="majorBidi" w:cstheme="majorBidi"/>
          <w:b/>
          <w:bCs/>
          <w:sz w:val="32"/>
          <w:szCs w:val="32"/>
        </w:rPr>
      </w:pPr>
      <w:r w:rsidRPr="008D2D9A">
        <w:rPr>
          <w:rFonts w:asciiTheme="majorBidi" w:hAnsiTheme="majorBidi" w:cstheme="majorBidi"/>
          <w:b/>
          <w:bCs/>
          <w:sz w:val="32"/>
          <w:szCs w:val="32"/>
        </w:rPr>
        <w:t>Clinical Findings:</w:t>
      </w:r>
    </w:p>
    <w:p w:rsidR="00BE0969" w:rsidRPr="00BE0969" w:rsidRDefault="00BE0969" w:rsidP="00BE0969">
      <w:pPr>
        <w:pStyle w:val="Default"/>
        <w:rPr>
          <w:rFonts w:asciiTheme="majorBidi" w:hAnsiTheme="majorBidi" w:cstheme="majorBidi"/>
          <w:sz w:val="28"/>
          <w:szCs w:val="28"/>
        </w:rPr>
      </w:pPr>
      <w:r w:rsidRPr="00BE0969">
        <w:rPr>
          <w:rFonts w:asciiTheme="majorBidi" w:hAnsiTheme="majorBidi" w:cstheme="majorBidi"/>
          <w:sz w:val="28"/>
          <w:szCs w:val="28"/>
        </w:rPr>
        <w:t xml:space="preserve"> </w:t>
      </w:r>
    </w:p>
    <w:p w:rsidR="00BE0969" w:rsidRPr="00BE0969" w:rsidRDefault="00BE0969" w:rsidP="008D2D9A">
      <w:pPr>
        <w:pStyle w:val="Default"/>
        <w:spacing w:line="276" w:lineRule="auto"/>
        <w:rPr>
          <w:rFonts w:asciiTheme="majorBidi" w:hAnsiTheme="majorBidi" w:cstheme="majorBidi"/>
          <w:sz w:val="28"/>
          <w:szCs w:val="28"/>
        </w:rPr>
      </w:pPr>
      <w:r w:rsidRPr="00BE0969">
        <w:rPr>
          <w:rFonts w:asciiTheme="majorBidi" w:hAnsiTheme="majorBidi" w:cstheme="majorBidi"/>
          <w:sz w:val="28"/>
          <w:szCs w:val="28"/>
        </w:rPr>
        <w:t xml:space="preserve">The initial symptoms are fever, myalgia, sore throat, and headache for 2–6 days. In less than 10% of infected children, several symptom-free days are followed by recurrent fever and signs of </w:t>
      </w:r>
      <w:r w:rsidRPr="00BE0969">
        <w:rPr>
          <w:rFonts w:asciiTheme="majorBidi" w:hAnsiTheme="majorBidi" w:cstheme="majorBidi"/>
          <w:b/>
          <w:bCs/>
          <w:sz w:val="28"/>
          <w:szCs w:val="28"/>
        </w:rPr>
        <w:t>aseptic meningitis</w:t>
      </w:r>
      <w:r w:rsidRPr="00BE0969">
        <w:rPr>
          <w:rFonts w:asciiTheme="majorBidi" w:hAnsiTheme="majorBidi" w:cstheme="majorBidi"/>
          <w:sz w:val="28"/>
          <w:szCs w:val="28"/>
        </w:rPr>
        <w:t xml:space="preserve">: headache, stiff neck, spinal rigidity, and nausea. Mild cases resolve completely. </w:t>
      </w:r>
    </w:p>
    <w:p w:rsidR="00BE0969" w:rsidRPr="00BE0969" w:rsidRDefault="00BE0969" w:rsidP="008D2D9A">
      <w:pPr>
        <w:pStyle w:val="Default"/>
        <w:spacing w:line="276" w:lineRule="auto"/>
        <w:rPr>
          <w:rFonts w:asciiTheme="majorBidi" w:hAnsiTheme="majorBidi" w:cstheme="majorBidi"/>
          <w:sz w:val="28"/>
          <w:szCs w:val="28"/>
        </w:rPr>
      </w:pPr>
      <w:r w:rsidRPr="00BE0969">
        <w:rPr>
          <w:rFonts w:asciiTheme="majorBidi" w:hAnsiTheme="majorBidi" w:cstheme="majorBidi"/>
          <w:sz w:val="28"/>
          <w:szCs w:val="28"/>
        </w:rPr>
        <w:t xml:space="preserve">In only 1–2% of children does high fever, severe myalgia, and anxiety portend progression to loss of reflexes and subsequent flaccid paralysis. Sensation remains intact, although </w:t>
      </w:r>
      <w:r w:rsidRPr="00BE0969">
        <w:rPr>
          <w:rFonts w:asciiTheme="majorBidi" w:hAnsiTheme="majorBidi" w:cstheme="majorBidi"/>
          <w:b/>
          <w:bCs/>
          <w:sz w:val="28"/>
          <w:szCs w:val="28"/>
        </w:rPr>
        <w:t xml:space="preserve">hyperesthesia </w:t>
      </w:r>
      <w:r w:rsidRPr="00BE0969">
        <w:rPr>
          <w:rFonts w:asciiTheme="majorBidi" w:hAnsiTheme="majorBidi" w:cstheme="majorBidi"/>
          <w:sz w:val="28"/>
          <w:szCs w:val="28"/>
        </w:rPr>
        <w:t xml:space="preserve">of skin overlying paralyzed muscles is common and "pathognomonic". </w:t>
      </w:r>
    </w:p>
    <w:p w:rsidR="00BE0969" w:rsidRPr="00BE0969" w:rsidRDefault="00BE0969" w:rsidP="008D2D9A">
      <w:pPr>
        <w:pStyle w:val="Default"/>
        <w:spacing w:line="276" w:lineRule="auto"/>
        <w:rPr>
          <w:rFonts w:asciiTheme="majorBidi" w:hAnsiTheme="majorBidi" w:cstheme="majorBidi"/>
          <w:sz w:val="28"/>
          <w:szCs w:val="28"/>
        </w:rPr>
      </w:pPr>
      <w:r w:rsidRPr="00BE0969">
        <w:rPr>
          <w:rFonts w:asciiTheme="majorBidi" w:hAnsiTheme="majorBidi" w:cstheme="majorBidi"/>
          <w:sz w:val="28"/>
          <w:szCs w:val="28"/>
        </w:rPr>
        <w:t xml:space="preserve">Paralysis is usually "asymmetric". Proximal limb muscles are more often involved than distal, and lower limb involvement is more common. </w:t>
      </w:r>
      <w:r w:rsidRPr="00BE0969">
        <w:rPr>
          <w:rFonts w:asciiTheme="majorBidi" w:hAnsiTheme="majorBidi" w:cstheme="majorBidi"/>
          <w:b/>
          <w:bCs/>
          <w:sz w:val="28"/>
          <w:szCs w:val="28"/>
        </w:rPr>
        <w:t xml:space="preserve">Bulbar involvement </w:t>
      </w:r>
      <w:r w:rsidRPr="00BE0969">
        <w:rPr>
          <w:rFonts w:asciiTheme="majorBidi" w:hAnsiTheme="majorBidi" w:cstheme="majorBidi"/>
          <w:sz w:val="28"/>
          <w:szCs w:val="28"/>
        </w:rPr>
        <w:t xml:space="preserve">affects swallowing, speech, and cardiorespiratory function and accounts for most deaths. Bladder distention and marked constipation characteristically accompany lower limb paralysis. Paralysis is usually complete by the time the temperature normalizes. Weakness often resolves completely. Atrophy is usually apparent by 4–8 weeks. Most improvement of muscle paralysis will take place within 6 months. </w:t>
      </w:r>
    </w:p>
    <w:p w:rsidR="008D2D9A" w:rsidRDefault="008D2D9A" w:rsidP="00BE0969">
      <w:pPr>
        <w:pStyle w:val="Default"/>
        <w:rPr>
          <w:rFonts w:asciiTheme="majorBidi" w:hAnsiTheme="majorBidi" w:cstheme="majorBidi"/>
          <w:sz w:val="28"/>
          <w:szCs w:val="28"/>
        </w:rPr>
      </w:pPr>
    </w:p>
    <w:p w:rsidR="00BE0969" w:rsidRDefault="00BE0969" w:rsidP="00BE0969">
      <w:pPr>
        <w:pStyle w:val="Default"/>
        <w:rPr>
          <w:rFonts w:asciiTheme="majorBidi" w:hAnsiTheme="majorBidi" w:cstheme="majorBidi"/>
          <w:b/>
          <w:bCs/>
          <w:sz w:val="32"/>
          <w:szCs w:val="32"/>
        </w:rPr>
      </w:pPr>
      <w:r w:rsidRPr="008D2D9A">
        <w:rPr>
          <w:rFonts w:asciiTheme="majorBidi" w:hAnsiTheme="majorBidi" w:cstheme="majorBidi"/>
          <w:b/>
          <w:bCs/>
          <w:sz w:val="32"/>
          <w:szCs w:val="32"/>
        </w:rPr>
        <w:lastRenderedPageBreak/>
        <w:t xml:space="preserve">Laboratory findings: </w:t>
      </w:r>
    </w:p>
    <w:p w:rsidR="008D2D9A" w:rsidRPr="008D2D9A" w:rsidRDefault="008D2D9A" w:rsidP="00BE0969">
      <w:pPr>
        <w:pStyle w:val="Default"/>
        <w:rPr>
          <w:rFonts w:asciiTheme="majorBidi" w:hAnsiTheme="majorBidi" w:cstheme="majorBidi"/>
          <w:b/>
          <w:bCs/>
          <w:sz w:val="32"/>
          <w:szCs w:val="32"/>
        </w:rPr>
      </w:pPr>
    </w:p>
    <w:p w:rsidR="008D2D9A" w:rsidRDefault="00BE0969" w:rsidP="008D2D9A">
      <w:pPr>
        <w:pStyle w:val="Default"/>
        <w:spacing w:line="276" w:lineRule="auto"/>
        <w:rPr>
          <w:rFonts w:asciiTheme="majorBidi" w:hAnsiTheme="majorBidi" w:cstheme="majorBidi"/>
          <w:sz w:val="28"/>
          <w:szCs w:val="28"/>
        </w:rPr>
      </w:pPr>
      <w:r w:rsidRPr="00BE0969">
        <w:rPr>
          <w:rFonts w:asciiTheme="majorBidi" w:hAnsiTheme="majorBidi" w:cstheme="majorBidi"/>
          <w:sz w:val="28"/>
          <w:szCs w:val="28"/>
        </w:rPr>
        <w:t xml:space="preserve">In patients with </w:t>
      </w:r>
      <w:r w:rsidRPr="00BE0969">
        <w:rPr>
          <w:rFonts w:asciiTheme="majorBidi" w:hAnsiTheme="majorBidi" w:cstheme="majorBidi"/>
          <w:b/>
          <w:bCs/>
          <w:sz w:val="28"/>
          <w:szCs w:val="28"/>
        </w:rPr>
        <w:t>meningeal symptoms</w:t>
      </w:r>
      <w:r w:rsidRPr="00BE0969">
        <w:rPr>
          <w:rFonts w:asciiTheme="majorBidi" w:hAnsiTheme="majorBidi" w:cstheme="majorBidi"/>
          <w:sz w:val="28"/>
          <w:szCs w:val="28"/>
        </w:rPr>
        <w:t>, the CSF contains:</w:t>
      </w:r>
    </w:p>
    <w:p w:rsidR="008D2D9A" w:rsidRDefault="00BE0969" w:rsidP="008D2D9A">
      <w:pPr>
        <w:pStyle w:val="Default"/>
        <w:spacing w:line="276" w:lineRule="auto"/>
        <w:rPr>
          <w:rFonts w:asciiTheme="majorBidi" w:hAnsiTheme="majorBidi" w:cstheme="majorBidi"/>
          <w:sz w:val="28"/>
          <w:szCs w:val="28"/>
        </w:rPr>
      </w:pPr>
      <w:r w:rsidRPr="00BE0969">
        <w:rPr>
          <w:rFonts w:asciiTheme="majorBidi" w:hAnsiTheme="majorBidi" w:cstheme="majorBidi"/>
          <w:sz w:val="28"/>
          <w:szCs w:val="28"/>
        </w:rPr>
        <w:t xml:space="preserve"> 1) up to several hundred leukocytes (mostly lymphocytes) per microliter, </w:t>
      </w:r>
    </w:p>
    <w:p w:rsidR="008D2D9A" w:rsidRDefault="00BE0969" w:rsidP="008D2D9A">
      <w:pPr>
        <w:pStyle w:val="Default"/>
        <w:spacing w:line="276" w:lineRule="auto"/>
        <w:rPr>
          <w:rFonts w:asciiTheme="majorBidi" w:hAnsiTheme="majorBidi" w:cstheme="majorBidi"/>
          <w:sz w:val="28"/>
          <w:szCs w:val="28"/>
        </w:rPr>
      </w:pPr>
      <w:r w:rsidRPr="00BE0969">
        <w:rPr>
          <w:rFonts w:asciiTheme="majorBidi" w:hAnsiTheme="majorBidi" w:cstheme="majorBidi"/>
          <w:sz w:val="28"/>
          <w:szCs w:val="28"/>
        </w:rPr>
        <w:t xml:space="preserve">2) the glucose level is normal, and </w:t>
      </w:r>
    </w:p>
    <w:p w:rsidR="00BE0969" w:rsidRPr="00BE0969" w:rsidRDefault="00BE0969" w:rsidP="008D2D9A">
      <w:pPr>
        <w:pStyle w:val="Default"/>
        <w:spacing w:line="276" w:lineRule="auto"/>
        <w:rPr>
          <w:rFonts w:asciiTheme="majorBidi" w:hAnsiTheme="majorBidi" w:cstheme="majorBidi"/>
          <w:sz w:val="28"/>
          <w:szCs w:val="28"/>
        </w:rPr>
      </w:pPr>
      <w:r w:rsidRPr="00BE0969">
        <w:rPr>
          <w:rFonts w:asciiTheme="majorBidi" w:hAnsiTheme="majorBidi" w:cstheme="majorBidi"/>
          <w:sz w:val="28"/>
          <w:szCs w:val="28"/>
        </w:rPr>
        <w:t xml:space="preserve">3) protein concentration is mildly elevated. </w:t>
      </w:r>
    </w:p>
    <w:p w:rsidR="008D2D9A" w:rsidRDefault="008D2D9A" w:rsidP="008D2D9A">
      <w:pPr>
        <w:pStyle w:val="Default"/>
        <w:spacing w:line="276" w:lineRule="auto"/>
        <w:rPr>
          <w:rFonts w:asciiTheme="majorBidi" w:hAnsiTheme="majorBidi" w:cstheme="majorBidi"/>
          <w:sz w:val="28"/>
          <w:szCs w:val="28"/>
        </w:rPr>
      </w:pPr>
    </w:p>
    <w:p w:rsidR="00EB1504" w:rsidRDefault="00BE0969" w:rsidP="008D2D9A">
      <w:pPr>
        <w:pStyle w:val="Default"/>
        <w:spacing w:line="276" w:lineRule="auto"/>
        <w:rPr>
          <w:rFonts w:asciiTheme="majorBidi" w:hAnsiTheme="majorBidi" w:cstheme="majorBidi"/>
          <w:sz w:val="28"/>
          <w:szCs w:val="28"/>
        </w:rPr>
      </w:pPr>
      <w:r w:rsidRPr="00BE0969">
        <w:rPr>
          <w:rFonts w:asciiTheme="majorBidi" w:hAnsiTheme="majorBidi" w:cstheme="majorBidi"/>
          <w:sz w:val="28"/>
          <w:szCs w:val="28"/>
        </w:rPr>
        <w:t xml:space="preserve">Poliovirus is easy to grow in cell culture and can be readily differentiated from other </w:t>
      </w:r>
      <w:proofErr w:type="spellStart"/>
      <w:r w:rsidRPr="00BE0969">
        <w:rPr>
          <w:rFonts w:asciiTheme="majorBidi" w:hAnsiTheme="majorBidi" w:cstheme="majorBidi"/>
          <w:sz w:val="28"/>
          <w:szCs w:val="28"/>
        </w:rPr>
        <w:t>enteroviruses</w:t>
      </w:r>
      <w:proofErr w:type="spellEnd"/>
      <w:r w:rsidRPr="00BE0969">
        <w:rPr>
          <w:rFonts w:asciiTheme="majorBidi" w:hAnsiTheme="majorBidi" w:cstheme="majorBidi"/>
          <w:sz w:val="28"/>
          <w:szCs w:val="28"/>
        </w:rPr>
        <w:t xml:space="preserve">. It is rarely isolated from spinal fluid but is often present in the throat and stool for several weeks following infection. </w:t>
      </w:r>
      <w:r w:rsidR="008D2D9A" w:rsidRPr="00BE0969">
        <w:rPr>
          <w:rFonts w:asciiTheme="majorBidi" w:hAnsiTheme="majorBidi" w:cstheme="majorBidi"/>
          <w:sz w:val="28"/>
          <w:szCs w:val="28"/>
        </w:rPr>
        <w:t>Paired serology is also diagnostic. Laboratory methods are available to differentiate wild from attenuated vaccine isolates</w:t>
      </w:r>
      <w:r w:rsidR="008D2D9A">
        <w:rPr>
          <w:rFonts w:asciiTheme="majorBidi" w:hAnsiTheme="majorBidi" w:cstheme="majorBidi"/>
          <w:sz w:val="28"/>
          <w:szCs w:val="28"/>
        </w:rPr>
        <w:t>.</w:t>
      </w:r>
    </w:p>
    <w:p w:rsidR="00EB1504" w:rsidRPr="00EB1504" w:rsidRDefault="00EB1504" w:rsidP="00EB1504">
      <w:pPr>
        <w:rPr>
          <w:rFonts w:hint="cs"/>
          <w:lang w:bidi="ar-IQ"/>
        </w:rPr>
      </w:pPr>
    </w:p>
    <w:p w:rsidR="00EB1504" w:rsidRDefault="00EB1504" w:rsidP="00EB1504">
      <w:pPr>
        <w:jc w:val="right"/>
        <w:rPr>
          <w:rFonts w:asciiTheme="majorBidi" w:hAnsiTheme="majorBidi" w:cstheme="majorBidi"/>
          <w:b/>
          <w:bCs/>
          <w:sz w:val="32"/>
          <w:szCs w:val="32"/>
        </w:rPr>
      </w:pPr>
      <w:r w:rsidRPr="00EB1504">
        <w:rPr>
          <w:rFonts w:asciiTheme="majorBidi" w:hAnsiTheme="majorBidi" w:cstheme="majorBidi"/>
          <w:b/>
          <w:bCs/>
          <w:sz w:val="32"/>
          <w:szCs w:val="32"/>
        </w:rPr>
        <w:t>Differential diagnosis</w:t>
      </w:r>
    </w:p>
    <w:p w:rsidR="00EB1504" w:rsidRPr="00BE0969" w:rsidRDefault="00EB1504" w:rsidP="00EB1504">
      <w:pPr>
        <w:pStyle w:val="Default"/>
        <w:spacing w:line="276" w:lineRule="auto"/>
        <w:rPr>
          <w:rFonts w:asciiTheme="majorBidi" w:hAnsiTheme="majorBidi" w:cstheme="majorBidi"/>
          <w:color w:val="auto"/>
          <w:sz w:val="28"/>
          <w:szCs w:val="28"/>
        </w:rPr>
      </w:pPr>
      <w:r w:rsidRPr="00BE0969">
        <w:rPr>
          <w:rFonts w:asciiTheme="majorBidi" w:hAnsiTheme="majorBidi" w:cstheme="majorBidi"/>
          <w:b/>
          <w:bCs/>
          <w:color w:val="auto"/>
          <w:sz w:val="28"/>
          <w:szCs w:val="28"/>
        </w:rPr>
        <w:t xml:space="preserve">Aseptic meningitis </w:t>
      </w:r>
      <w:r w:rsidRPr="00BE0969">
        <w:rPr>
          <w:rFonts w:asciiTheme="majorBidi" w:hAnsiTheme="majorBidi" w:cstheme="majorBidi"/>
          <w:color w:val="auto"/>
          <w:sz w:val="28"/>
          <w:szCs w:val="28"/>
        </w:rPr>
        <w:t xml:space="preserve">due to poliovirus is indistinguishable from that due to other viruses. </w:t>
      </w:r>
    </w:p>
    <w:p w:rsidR="00EB1504" w:rsidRDefault="00EB1504" w:rsidP="00EB1504">
      <w:pPr>
        <w:pStyle w:val="Default"/>
        <w:spacing w:line="276" w:lineRule="auto"/>
        <w:rPr>
          <w:rFonts w:asciiTheme="majorBidi" w:hAnsiTheme="majorBidi" w:cstheme="majorBidi"/>
          <w:b/>
          <w:bCs/>
          <w:color w:val="auto"/>
          <w:sz w:val="28"/>
          <w:szCs w:val="28"/>
        </w:rPr>
      </w:pPr>
    </w:p>
    <w:p w:rsidR="00EB1504" w:rsidRDefault="00EB1504" w:rsidP="00EB1504">
      <w:pPr>
        <w:pStyle w:val="Default"/>
        <w:spacing w:line="276" w:lineRule="auto"/>
        <w:rPr>
          <w:rFonts w:asciiTheme="majorBidi" w:hAnsiTheme="majorBidi" w:cstheme="majorBidi"/>
          <w:color w:val="auto"/>
          <w:sz w:val="28"/>
          <w:szCs w:val="28"/>
        </w:rPr>
      </w:pPr>
      <w:r w:rsidRPr="00BE0969">
        <w:rPr>
          <w:rFonts w:asciiTheme="majorBidi" w:hAnsiTheme="majorBidi" w:cstheme="majorBidi"/>
          <w:b/>
          <w:bCs/>
          <w:color w:val="auto"/>
          <w:sz w:val="28"/>
          <w:szCs w:val="28"/>
        </w:rPr>
        <w:t>Paralytic disease</w:t>
      </w:r>
      <w:r>
        <w:rPr>
          <w:rFonts w:asciiTheme="majorBidi" w:hAnsiTheme="majorBidi" w:cstheme="majorBidi"/>
          <w:b/>
          <w:bCs/>
          <w:color w:val="auto"/>
          <w:sz w:val="28"/>
          <w:szCs w:val="28"/>
        </w:rPr>
        <w:t>:</w:t>
      </w:r>
    </w:p>
    <w:p w:rsidR="00EB1504" w:rsidRDefault="00EB1504" w:rsidP="00EB1504">
      <w:pPr>
        <w:pStyle w:val="Default"/>
        <w:spacing w:line="276" w:lineRule="auto"/>
        <w:rPr>
          <w:rFonts w:asciiTheme="majorBidi" w:hAnsiTheme="majorBidi" w:cstheme="majorBidi"/>
          <w:color w:val="auto"/>
          <w:sz w:val="28"/>
          <w:szCs w:val="28"/>
        </w:rPr>
      </w:pPr>
    </w:p>
    <w:p w:rsidR="00EB1504" w:rsidRPr="00BE0969" w:rsidRDefault="00EB1504" w:rsidP="00EB1504">
      <w:pPr>
        <w:pStyle w:val="Default"/>
        <w:spacing w:line="276" w:lineRule="auto"/>
        <w:rPr>
          <w:rFonts w:asciiTheme="majorBidi" w:hAnsiTheme="majorBidi" w:cstheme="majorBidi"/>
          <w:color w:val="auto"/>
          <w:sz w:val="28"/>
          <w:szCs w:val="28"/>
        </w:rPr>
      </w:pPr>
      <w:r w:rsidRPr="00BE0969">
        <w:rPr>
          <w:rFonts w:asciiTheme="majorBidi" w:hAnsiTheme="majorBidi" w:cstheme="majorBidi"/>
          <w:b/>
          <w:bCs/>
          <w:color w:val="auto"/>
          <w:sz w:val="28"/>
          <w:szCs w:val="28"/>
        </w:rPr>
        <w:t xml:space="preserve">1. Neurotropic virus infections: </w:t>
      </w:r>
    </w:p>
    <w:p w:rsidR="00EB1504" w:rsidRPr="00BE0969" w:rsidRDefault="00EB1504" w:rsidP="00EB1504">
      <w:pPr>
        <w:pStyle w:val="Default"/>
        <w:spacing w:after="77" w:line="276" w:lineRule="auto"/>
        <w:rPr>
          <w:rFonts w:asciiTheme="majorBidi" w:hAnsiTheme="majorBidi" w:cstheme="majorBidi"/>
          <w:color w:val="auto"/>
          <w:sz w:val="28"/>
          <w:szCs w:val="28"/>
        </w:rPr>
      </w:pPr>
      <w:r w:rsidRPr="00BE0969">
        <w:rPr>
          <w:rFonts w:asciiTheme="majorBidi" w:hAnsiTheme="majorBidi" w:cstheme="majorBidi"/>
          <w:color w:val="auto"/>
          <w:sz w:val="28"/>
          <w:szCs w:val="28"/>
        </w:rPr>
        <w:t xml:space="preserve">1. Rabies virus: onset of paralysis: Mo- </w:t>
      </w:r>
      <w:proofErr w:type="spellStart"/>
      <w:r w:rsidRPr="00BE0969">
        <w:rPr>
          <w:rFonts w:asciiTheme="majorBidi" w:hAnsiTheme="majorBidi" w:cstheme="majorBidi"/>
          <w:color w:val="auto"/>
          <w:sz w:val="28"/>
          <w:szCs w:val="28"/>
        </w:rPr>
        <w:t>yr</w:t>
      </w:r>
      <w:proofErr w:type="spellEnd"/>
      <w:r w:rsidRPr="00BE0969">
        <w:rPr>
          <w:rFonts w:asciiTheme="majorBidi" w:hAnsiTheme="majorBidi" w:cstheme="majorBidi"/>
          <w:color w:val="auto"/>
          <w:sz w:val="28"/>
          <w:szCs w:val="28"/>
        </w:rPr>
        <w:t xml:space="preserve">; progression of paralysis: acute, symmetric, ascending; sensory signs and symptoms with reduction or absence of deep tendon reflexes. </w:t>
      </w:r>
    </w:p>
    <w:p w:rsidR="00EB1504" w:rsidRPr="00BE0969" w:rsidRDefault="00EB1504" w:rsidP="00EB1504">
      <w:pPr>
        <w:pStyle w:val="Default"/>
        <w:spacing w:line="276" w:lineRule="auto"/>
        <w:rPr>
          <w:rFonts w:asciiTheme="majorBidi" w:hAnsiTheme="majorBidi" w:cstheme="majorBidi"/>
          <w:color w:val="auto"/>
          <w:sz w:val="28"/>
          <w:szCs w:val="28"/>
        </w:rPr>
      </w:pPr>
      <w:r w:rsidRPr="00BE0969">
        <w:rPr>
          <w:rFonts w:asciiTheme="majorBidi" w:hAnsiTheme="majorBidi" w:cstheme="majorBidi"/>
          <w:color w:val="auto"/>
          <w:sz w:val="28"/>
          <w:szCs w:val="28"/>
        </w:rPr>
        <w:t xml:space="preserve">2. Varicella-zoster virus: </w:t>
      </w:r>
      <w:proofErr w:type="spellStart"/>
      <w:r w:rsidRPr="00BE0969">
        <w:rPr>
          <w:rFonts w:asciiTheme="majorBidi" w:hAnsiTheme="majorBidi" w:cstheme="majorBidi"/>
          <w:color w:val="auto"/>
          <w:sz w:val="28"/>
          <w:szCs w:val="28"/>
        </w:rPr>
        <w:t>Exanthematous</w:t>
      </w:r>
      <w:proofErr w:type="spellEnd"/>
      <w:r w:rsidRPr="00BE0969">
        <w:rPr>
          <w:rFonts w:asciiTheme="majorBidi" w:hAnsiTheme="majorBidi" w:cstheme="majorBidi"/>
          <w:color w:val="auto"/>
          <w:sz w:val="28"/>
          <w:szCs w:val="28"/>
        </w:rPr>
        <w:t xml:space="preserve"> vesicular eruptions with incubation period 10- 21 days; Acute, symmetric, ascending with sensory signs and symptoms. </w:t>
      </w:r>
    </w:p>
    <w:p w:rsidR="00EB1504" w:rsidRDefault="00EB1504" w:rsidP="00EB1504">
      <w:pPr>
        <w:pStyle w:val="Default"/>
        <w:spacing w:line="276" w:lineRule="auto"/>
        <w:rPr>
          <w:rFonts w:asciiTheme="majorBidi" w:hAnsiTheme="majorBidi" w:cstheme="majorBidi"/>
          <w:color w:val="auto"/>
          <w:sz w:val="28"/>
          <w:szCs w:val="28"/>
        </w:rPr>
      </w:pPr>
    </w:p>
    <w:p w:rsidR="00EB1504" w:rsidRDefault="00EB1504" w:rsidP="00EB1504">
      <w:pPr>
        <w:pStyle w:val="Default"/>
        <w:spacing w:line="276" w:lineRule="auto"/>
        <w:rPr>
          <w:rFonts w:asciiTheme="majorBidi" w:hAnsiTheme="majorBidi" w:cstheme="majorBidi"/>
          <w:color w:val="auto"/>
          <w:sz w:val="28"/>
          <w:szCs w:val="28"/>
        </w:rPr>
      </w:pPr>
    </w:p>
    <w:p w:rsidR="00EB1504" w:rsidRPr="00BE0969" w:rsidRDefault="00EB1504" w:rsidP="00EB1504">
      <w:pPr>
        <w:pStyle w:val="Default"/>
        <w:spacing w:line="276" w:lineRule="auto"/>
        <w:rPr>
          <w:rFonts w:asciiTheme="majorBidi" w:hAnsiTheme="majorBidi" w:cstheme="majorBidi"/>
          <w:color w:val="auto"/>
          <w:sz w:val="28"/>
          <w:szCs w:val="28"/>
        </w:rPr>
      </w:pPr>
      <w:r w:rsidRPr="00BE0969">
        <w:rPr>
          <w:rFonts w:asciiTheme="majorBidi" w:hAnsiTheme="majorBidi" w:cstheme="majorBidi"/>
          <w:b/>
          <w:bCs/>
          <w:color w:val="auto"/>
          <w:sz w:val="28"/>
          <w:szCs w:val="28"/>
        </w:rPr>
        <w:t xml:space="preserve">2. </w:t>
      </w:r>
      <w:proofErr w:type="spellStart"/>
      <w:r w:rsidRPr="00BE0969">
        <w:rPr>
          <w:rFonts w:asciiTheme="majorBidi" w:hAnsiTheme="majorBidi" w:cstheme="majorBidi"/>
          <w:b/>
          <w:bCs/>
          <w:color w:val="auto"/>
          <w:sz w:val="28"/>
          <w:szCs w:val="28"/>
        </w:rPr>
        <w:t>Guillain</w:t>
      </w:r>
      <w:proofErr w:type="spellEnd"/>
      <w:r w:rsidRPr="00BE0969">
        <w:rPr>
          <w:rFonts w:asciiTheme="majorBidi" w:hAnsiTheme="majorBidi" w:cstheme="majorBidi"/>
          <w:b/>
          <w:bCs/>
          <w:color w:val="auto"/>
          <w:sz w:val="28"/>
          <w:szCs w:val="28"/>
        </w:rPr>
        <w:t>–</w:t>
      </w:r>
      <w:proofErr w:type="spellStart"/>
      <w:r w:rsidRPr="00BE0969">
        <w:rPr>
          <w:rFonts w:asciiTheme="majorBidi" w:hAnsiTheme="majorBidi" w:cstheme="majorBidi"/>
          <w:b/>
          <w:bCs/>
          <w:color w:val="auto"/>
          <w:sz w:val="28"/>
          <w:szCs w:val="28"/>
        </w:rPr>
        <w:t>Barré</w:t>
      </w:r>
      <w:proofErr w:type="spellEnd"/>
      <w:r w:rsidRPr="00BE0969">
        <w:rPr>
          <w:rFonts w:asciiTheme="majorBidi" w:hAnsiTheme="majorBidi" w:cstheme="majorBidi"/>
          <w:b/>
          <w:bCs/>
          <w:color w:val="auto"/>
          <w:sz w:val="28"/>
          <w:szCs w:val="28"/>
        </w:rPr>
        <w:t xml:space="preserve"> syndrome (GBS): </w:t>
      </w:r>
      <w:r w:rsidRPr="00BE0969">
        <w:rPr>
          <w:rFonts w:asciiTheme="majorBidi" w:hAnsiTheme="majorBidi" w:cstheme="majorBidi"/>
          <w:color w:val="auto"/>
          <w:sz w:val="28"/>
          <w:szCs w:val="28"/>
        </w:rPr>
        <w:t xml:space="preserve">is an acute polyneuropathy, a disorder affecting the peripheral nervous system. Ascending symmetric paralysis (weakness beginning in the feet and hands and migrating towards the trunk) is the most typical symptom, and some subtypes cause change in sensation or pain, as well as dysfunction of the autonomic nervous system. It can cause life-threatening complications, in particular if the respiratory muscles are affected or if the autonomic nervous system is involved. The disease is usually triggered by an infection (e.g. respiratory tract infection). </w:t>
      </w:r>
    </w:p>
    <w:p w:rsidR="00EB1504" w:rsidRPr="00BE0969" w:rsidRDefault="00EB1504" w:rsidP="00EB1504">
      <w:pPr>
        <w:pStyle w:val="Default"/>
        <w:spacing w:line="276" w:lineRule="auto"/>
        <w:rPr>
          <w:rFonts w:asciiTheme="majorBidi" w:hAnsiTheme="majorBidi" w:cstheme="majorBidi"/>
          <w:color w:val="auto"/>
          <w:sz w:val="28"/>
          <w:szCs w:val="28"/>
        </w:rPr>
      </w:pPr>
      <w:r w:rsidRPr="00BE0969">
        <w:rPr>
          <w:rFonts w:asciiTheme="majorBidi" w:hAnsiTheme="majorBidi" w:cstheme="majorBidi"/>
          <w:color w:val="auto"/>
          <w:sz w:val="28"/>
          <w:szCs w:val="28"/>
        </w:rPr>
        <w:t xml:space="preserve">The diagnosis is usually made by nerve conduction studies and with studies of the cerebrospinal fluid (minimal </w:t>
      </w:r>
      <w:proofErr w:type="spellStart"/>
      <w:r w:rsidRPr="00BE0969">
        <w:rPr>
          <w:rFonts w:asciiTheme="majorBidi" w:hAnsiTheme="majorBidi" w:cstheme="majorBidi"/>
          <w:color w:val="auto"/>
          <w:sz w:val="28"/>
          <w:szCs w:val="28"/>
        </w:rPr>
        <w:t>pleocytosis</w:t>
      </w:r>
      <w:proofErr w:type="spellEnd"/>
      <w:r w:rsidRPr="00BE0969">
        <w:rPr>
          <w:rFonts w:asciiTheme="majorBidi" w:hAnsiTheme="majorBidi" w:cstheme="majorBidi"/>
          <w:color w:val="auto"/>
          <w:sz w:val="28"/>
          <w:szCs w:val="28"/>
        </w:rPr>
        <w:t>, "high protein" concentration in the CSF –</w:t>
      </w:r>
      <w:proofErr w:type="spellStart"/>
      <w:r w:rsidRPr="00BE0969">
        <w:rPr>
          <w:rFonts w:asciiTheme="majorBidi" w:hAnsiTheme="majorBidi" w:cstheme="majorBidi"/>
          <w:i/>
          <w:iCs/>
          <w:color w:val="auto"/>
          <w:sz w:val="28"/>
          <w:szCs w:val="28"/>
        </w:rPr>
        <w:t>albuminocell</w:t>
      </w:r>
      <w:proofErr w:type="spellEnd"/>
      <w:r w:rsidRPr="00BE0969">
        <w:rPr>
          <w:rFonts w:asciiTheme="majorBidi" w:hAnsiTheme="majorBidi" w:cstheme="majorBidi"/>
          <w:i/>
          <w:iCs/>
          <w:color w:val="auto"/>
          <w:sz w:val="28"/>
          <w:szCs w:val="28"/>
        </w:rPr>
        <w:t xml:space="preserve"> dissociation</w:t>
      </w:r>
      <w:r w:rsidRPr="00BE0969">
        <w:rPr>
          <w:rFonts w:asciiTheme="majorBidi" w:hAnsiTheme="majorBidi" w:cstheme="majorBidi"/>
          <w:color w:val="auto"/>
          <w:sz w:val="28"/>
          <w:szCs w:val="28"/>
        </w:rPr>
        <w:t xml:space="preserve">). </w:t>
      </w:r>
    </w:p>
    <w:p w:rsidR="00EB1504" w:rsidRDefault="00EB1504" w:rsidP="00EB1504">
      <w:pPr>
        <w:pStyle w:val="Default"/>
        <w:spacing w:line="276" w:lineRule="auto"/>
        <w:rPr>
          <w:rFonts w:asciiTheme="majorBidi" w:hAnsiTheme="majorBidi" w:cstheme="majorBidi"/>
          <w:color w:val="auto"/>
          <w:sz w:val="32"/>
          <w:szCs w:val="32"/>
        </w:rPr>
      </w:pPr>
    </w:p>
    <w:p w:rsidR="00EB1504" w:rsidRPr="00BE0969" w:rsidRDefault="00EB1504" w:rsidP="00EB1504">
      <w:pPr>
        <w:pStyle w:val="Default"/>
        <w:spacing w:line="276" w:lineRule="auto"/>
        <w:rPr>
          <w:rFonts w:asciiTheme="majorBidi" w:hAnsiTheme="majorBidi" w:cstheme="majorBidi"/>
          <w:color w:val="auto"/>
          <w:sz w:val="28"/>
          <w:szCs w:val="28"/>
        </w:rPr>
      </w:pPr>
      <w:r w:rsidRPr="00BE0969">
        <w:rPr>
          <w:rFonts w:asciiTheme="majorBidi" w:hAnsiTheme="majorBidi" w:cstheme="majorBidi"/>
          <w:b/>
          <w:bCs/>
          <w:color w:val="auto"/>
          <w:sz w:val="28"/>
          <w:szCs w:val="28"/>
        </w:rPr>
        <w:lastRenderedPageBreak/>
        <w:t xml:space="preserve">3. Acute traumatic sciatic neuritis: </w:t>
      </w:r>
      <w:r w:rsidRPr="00BE0969">
        <w:rPr>
          <w:rFonts w:asciiTheme="majorBidi" w:hAnsiTheme="majorBidi" w:cstheme="majorBidi"/>
          <w:color w:val="auto"/>
          <w:sz w:val="28"/>
          <w:szCs w:val="28"/>
        </w:rPr>
        <w:t xml:space="preserve">Intramuscular gluteal injection; acute, asymmetric weakness; hours to 4 days after the trauma; sensory signs and symptoms with reduction or absence of deep tendon reflexes. </w:t>
      </w:r>
    </w:p>
    <w:p w:rsidR="00EB1504" w:rsidRPr="00BE0969" w:rsidRDefault="00EB1504" w:rsidP="00EB1504">
      <w:pPr>
        <w:pStyle w:val="Default"/>
        <w:spacing w:line="276" w:lineRule="auto"/>
        <w:rPr>
          <w:rFonts w:asciiTheme="majorBidi" w:hAnsiTheme="majorBidi" w:cstheme="majorBidi"/>
          <w:color w:val="auto"/>
          <w:sz w:val="28"/>
          <w:szCs w:val="28"/>
        </w:rPr>
      </w:pPr>
      <w:r w:rsidRPr="00BE0969">
        <w:rPr>
          <w:rFonts w:asciiTheme="majorBidi" w:hAnsiTheme="majorBidi" w:cstheme="majorBidi"/>
          <w:b/>
          <w:bCs/>
          <w:color w:val="auto"/>
          <w:sz w:val="28"/>
          <w:szCs w:val="28"/>
        </w:rPr>
        <w:t xml:space="preserve">4. Acute transverse myelitis: </w:t>
      </w:r>
      <w:r w:rsidRPr="00BE0969">
        <w:rPr>
          <w:rFonts w:asciiTheme="majorBidi" w:hAnsiTheme="majorBidi" w:cstheme="majorBidi"/>
          <w:color w:val="auto"/>
          <w:sz w:val="28"/>
          <w:szCs w:val="28"/>
        </w:rPr>
        <w:t xml:space="preserve">Preceding Mycoplasma pneumonia, </w:t>
      </w:r>
      <w:proofErr w:type="spellStart"/>
      <w:r w:rsidRPr="00BE0969">
        <w:rPr>
          <w:rFonts w:asciiTheme="majorBidi" w:hAnsiTheme="majorBidi" w:cstheme="majorBidi"/>
          <w:color w:val="auto"/>
          <w:sz w:val="28"/>
          <w:szCs w:val="28"/>
        </w:rPr>
        <w:t>Schistosoma</w:t>
      </w:r>
      <w:proofErr w:type="spellEnd"/>
      <w:r w:rsidRPr="00BE0969">
        <w:rPr>
          <w:rFonts w:asciiTheme="majorBidi" w:hAnsiTheme="majorBidi" w:cstheme="majorBidi"/>
          <w:color w:val="auto"/>
          <w:sz w:val="28"/>
          <w:szCs w:val="28"/>
        </w:rPr>
        <w:t xml:space="preserve">, other parasitic or viral infection. Acute, symmetric </w:t>
      </w:r>
      <w:proofErr w:type="spellStart"/>
      <w:r w:rsidRPr="00BE0969">
        <w:rPr>
          <w:rFonts w:asciiTheme="majorBidi" w:hAnsiTheme="majorBidi" w:cstheme="majorBidi"/>
          <w:color w:val="auto"/>
          <w:sz w:val="28"/>
          <w:szCs w:val="28"/>
        </w:rPr>
        <w:t>hypotonia</w:t>
      </w:r>
      <w:proofErr w:type="spellEnd"/>
      <w:r w:rsidRPr="00BE0969">
        <w:rPr>
          <w:rFonts w:asciiTheme="majorBidi" w:hAnsiTheme="majorBidi" w:cstheme="majorBidi"/>
          <w:color w:val="auto"/>
          <w:sz w:val="28"/>
          <w:szCs w:val="28"/>
        </w:rPr>
        <w:t xml:space="preserve"> of lower limbs; progression of the paralysis: hours to days; sensory signs and symptoms with reduction or absence of deep tendon reflexes. CSF is usually normal. </w:t>
      </w:r>
    </w:p>
    <w:p w:rsidR="00EB1504" w:rsidRPr="00BE0969" w:rsidRDefault="00EB1504" w:rsidP="00EB1504">
      <w:pPr>
        <w:pStyle w:val="Default"/>
        <w:spacing w:line="276" w:lineRule="auto"/>
        <w:rPr>
          <w:rFonts w:asciiTheme="majorBidi" w:hAnsiTheme="majorBidi" w:cstheme="majorBidi"/>
          <w:color w:val="auto"/>
          <w:sz w:val="28"/>
          <w:szCs w:val="28"/>
        </w:rPr>
      </w:pPr>
      <w:r w:rsidRPr="00BE0969">
        <w:rPr>
          <w:rFonts w:asciiTheme="majorBidi" w:hAnsiTheme="majorBidi" w:cstheme="majorBidi"/>
          <w:b/>
          <w:bCs/>
          <w:color w:val="auto"/>
          <w:sz w:val="28"/>
          <w:szCs w:val="28"/>
        </w:rPr>
        <w:t>5. Spinal cord compression</w:t>
      </w:r>
      <w:r w:rsidRPr="00BE0969">
        <w:rPr>
          <w:rFonts w:asciiTheme="majorBidi" w:hAnsiTheme="majorBidi" w:cstheme="majorBidi"/>
          <w:color w:val="auto"/>
          <w:sz w:val="28"/>
          <w:szCs w:val="28"/>
        </w:rPr>
        <w:t xml:space="preserve">: by space-occupying lesion or trauma. Back pain, local spinal tenderness. Acute, symmetric </w:t>
      </w:r>
      <w:proofErr w:type="spellStart"/>
      <w:r w:rsidRPr="00BE0969">
        <w:rPr>
          <w:rFonts w:asciiTheme="majorBidi" w:hAnsiTheme="majorBidi" w:cstheme="majorBidi"/>
          <w:color w:val="auto"/>
          <w:sz w:val="28"/>
          <w:szCs w:val="28"/>
        </w:rPr>
        <w:t>hypotonia</w:t>
      </w:r>
      <w:proofErr w:type="spellEnd"/>
      <w:r w:rsidRPr="00BE0969">
        <w:rPr>
          <w:rFonts w:asciiTheme="majorBidi" w:hAnsiTheme="majorBidi" w:cstheme="majorBidi"/>
          <w:color w:val="auto"/>
          <w:sz w:val="28"/>
          <w:szCs w:val="28"/>
        </w:rPr>
        <w:t xml:space="preserve"> of lower limbs; sensory signs and symptoms with reduction or absence of deep tendon reflexes. </w:t>
      </w:r>
    </w:p>
    <w:p w:rsidR="00EB1504" w:rsidRPr="00BE0969" w:rsidRDefault="00EB1504" w:rsidP="00EB1504">
      <w:pPr>
        <w:pStyle w:val="Default"/>
        <w:spacing w:line="276" w:lineRule="auto"/>
        <w:rPr>
          <w:rFonts w:asciiTheme="majorBidi" w:hAnsiTheme="majorBidi" w:cstheme="majorBidi"/>
          <w:color w:val="auto"/>
          <w:sz w:val="28"/>
          <w:szCs w:val="28"/>
        </w:rPr>
      </w:pPr>
      <w:r w:rsidRPr="00BE0969">
        <w:rPr>
          <w:rFonts w:asciiTheme="majorBidi" w:hAnsiTheme="majorBidi" w:cstheme="majorBidi"/>
          <w:b/>
          <w:bCs/>
          <w:color w:val="auto"/>
          <w:sz w:val="28"/>
          <w:szCs w:val="28"/>
        </w:rPr>
        <w:t xml:space="preserve">6. Toxin –induced neuropathy: </w:t>
      </w:r>
    </w:p>
    <w:p w:rsidR="00EB1504" w:rsidRPr="00BE0969" w:rsidRDefault="00EB1504" w:rsidP="00EB1504">
      <w:pPr>
        <w:pStyle w:val="Default"/>
        <w:spacing w:after="79" w:line="276" w:lineRule="auto"/>
        <w:rPr>
          <w:rFonts w:asciiTheme="majorBidi" w:hAnsiTheme="majorBidi" w:cstheme="majorBidi"/>
          <w:color w:val="auto"/>
          <w:sz w:val="28"/>
          <w:szCs w:val="28"/>
        </w:rPr>
      </w:pPr>
      <w:r w:rsidRPr="00BE0969">
        <w:rPr>
          <w:rFonts w:asciiTheme="majorBidi" w:hAnsiTheme="majorBidi" w:cstheme="majorBidi"/>
          <w:color w:val="auto"/>
          <w:sz w:val="28"/>
          <w:szCs w:val="28"/>
        </w:rPr>
        <w:t>1. Diphtheria (</w:t>
      </w:r>
      <w:proofErr w:type="spellStart"/>
      <w:r w:rsidRPr="00BE0969">
        <w:rPr>
          <w:rFonts w:asciiTheme="majorBidi" w:hAnsiTheme="majorBidi" w:cstheme="majorBidi"/>
          <w:i/>
          <w:iCs/>
          <w:color w:val="auto"/>
          <w:sz w:val="28"/>
          <w:szCs w:val="28"/>
        </w:rPr>
        <w:t>Corynebacterium</w:t>
      </w:r>
      <w:proofErr w:type="spellEnd"/>
      <w:r w:rsidRPr="00BE0969">
        <w:rPr>
          <w:rFonts w:asciiTheme="majorBidi" w:hAnsiTheme="majorBidi" w:cstheme="majorBidi"/>
          <w:i/>
          <w:iCs/>
          <w:color w:val="auto"/>
          <w:sz w:val="28"/>
          <w:szCs w:val="28"/>
        </w:rPr>
        <w:t xml:space="preserve"> </w:t>
      </w:r>
      <w:proofErr w:type="spellStart"/>
      <w:r w:rsidRPr="00BE0969">
        <w:rPr>
          <w:rFonts w:asciiTheme="majorBidi" w:hAnsiTheme="majorBidi" w:cstheme="majorBidi"/>
          <w:i/>
          <w:iCs/>
          <w:color w:val="auto"/>
          <w:sz w:val="28"/>
          <w:szCs w:val="28"/>
        </w:rPr>
        <w:t>diphtheriae</w:t>
      </w:r>
      <w:proofErr w:type="spellEnd"/>
      <w:r w:rsidRPr="00BE0969">
        <w:rPr>
          <w:rFonts w:asciiTheme="majorBidi" w:hAnsiTheme="majorBidi" w:cstheme="majorBidi"/>
          <w:color w:val="auto"/>
          <w:sz w:val="28"/>
          <w:szCs w:val="28"/>
        </w:rPr>
        <w:t xml:space="preserve">): sensory signs and symptoms with reduction or absence of deep tendon reflexes. </w:t>
      </w:r>
    </w:p>
    <w:p w:rsidR="00EB1504" w:rsidRPr="00BE0969" w:rsidRDefault="00EB1504" w:rsidP="00EB1504">
      <w:pPr>
        <w:pStyle w:val="Default"/>
        <w:spacing w:after="79" w:line="276" w:lineRule="auto"/>
        <w:rPr>
          <w:rFonts w:asciiTheme="majorBidi" w:hAnsiTheme="majorBidi" w:cstheme="majorBidi"/>
          <w:color w:val="auto"/>
          <w:sz w:val="28"/>
          <w:szCs w:val="28"/>
        </w:rPr>
      </w:pPr>
      <w:r w:rsidRPr="00BE0969">
        <w:rPr>
          <w:rFonts w:asciiTheme="majorBidi" w:hAnsiTheme="majorBidi" w:cstheme="majorBidi"/>
          <w:color w:val="auto"/>
          <w:sz w:val="28"/>
          <w:szCs w:val="28"/>
        </w:rPr>
        <w:t>2. Botulism (</w:t>
      </w:r>
      <w:r w:rsidRPr="00BE0969">
        <w:rPr>
          <w:rFonts w:asciiTheme="majorBidi" w:hAnsiTheme="majorBidi" w:cstheme="majorBidi"/>
          <w:i/>
          <w:iCs/>
          <w:color w:val="auto"/>
          <w:sz w:val="28"/>
          <w:szCs w:val="28"/>
        </w:rPr>
        <w:t xml:space="preserve">Clostridium </w:t>
      </w:r>
      <w:proofErr w:type="spellStart"/>
      <w:r w:rsidRPr="00BE0969">
        <w:rPr>
          <w:rFonts w:asciiTheme="majorBidi" w:hAnsiTheme="majorBidi" w:cstheme="majorBidi"/>
          <w:i/>
          <w:iCs/>
          <w:color w:val="auto"/>
          <w:sz w:val="28"/>
          <w:szCs w:val="28"/>
        </w:rPr>
        <w:t>botulinum</w:t>
      </w:r>
      <w:proofErr w:type="spellEnd"/>
      <w:r w:rsidRPr="00BE0969">
        <w:rPr>
          <w:rFonts w:asciiTheme="majorBidi" w:hAnsiTheme="majorBidi" w:cstheme="majorBidi"/>
          <w:color w:val="auto"/>
          <w:sz w:val="28"/>
          <w:szCs w:val="28"/>
        </w:rPr>
        <w:t xml:space="preserve">): Abdominal pain, diplopia, loss of accommodation, </w:t>
      </w:r>
      <w:proofErr w:type="spellStart"/>
      <w:r w:rsidRPr="00BE0969">
        <w:rPr>
          <w:rFonts w:asciiTheme="majorBidi" w:hAnsiTheme="majorBidi" w:cstheme="majorBidi"/>
          <w:color w:val="auto"/>
          <w:sz w:val="28"/>
          <w:szCs w:val="28"/>
        </w:rPr>
        <w:t>mydriasis</w:t>
      </w:r>
      <w:proofErr w:type="spellEnd"/>
      <w:r w:rsidRPr="00BE0969">
        <w:rPr>
          <w:rFonts w:asciiTheme="majorBidi" w:hAnsiTheme="majorBidi" w:cstheme="majorBidi"/>
          <w:color w:val="auto"/>
          <w:sz w:val="28"/>
          <w:szCs w:val="28"/>
        </w:rPr>
        <w:t xml:space="preserve">. Incubation period 18-36 hr. Rapid, "descending", symmetric paralysis. </w:t>
      </w:r>
      <w:r w:rsidRPr="00BE0969">
        <w:rPr>
          <w:rFonts w:asciiTheme="majorBidi" w:hAnsiTheme="majorBidi" w:cstheme="majorBidi"/>
          <w:b/>
          <w:bCs/>
          <w:color w:val="auto"/>
          <w:sz w:val="28"/>
          <w:szCs w:val="28"/>
        </w:rPr>
        <w:t xml:space="preserve">No </w:t>
      </w:r>
      <w:r w:rsidRPr="00BE0969">
        <w:rPr>
          <w:rFonts w:asciiTheme="majorBidi" w:hAnsiTheme="majorBidi" w:cstheme="majorBidi"/>
          <w:color w:val="auto"/>
          <w:sz w:val="28"/>
          <w:szCs w:val="28"/>
        </w:rPr>
        <w:t xml:space="preserve">sensory signs and symptoms or reduction or absence of deep tendon reflexes. </w:t>
      </w:r>
    </w:p>
    <w:p w:rsidR="00EB1504" w:rsidRDefault="00EB1504" w:rsidP="00EB1504">
      <w:pPr>
        <w:pStyle w:val="Default"/>
        <w:spacing w:line="276" w:lineRule="auto"/>
        <w:rPr>
          <w:rFonts w:asciiTheme="majorBidi" w:hAnsiTheme="majorBidi" w:cstheme="majorBidi"/>
          <w:color w:val="auto"/>
          <w:sz w:val="28"/>
          <w:szCs w:val="28"/>
        </w:rPr>
      </w:pPr>
      <w:r w:rsidRPr="00BE0969">
        <w:rPr>
          <w:rFonts w:asciiTheme="majorBidi" w:hAnsiTheme="majorBidi" w:cstheme="majorBidi"/>
          <w:color w:val="auto"/>
          <w:sz w:val="28"/>
          <w:szCs w:val="28"/>
        </w:rPr>
        <w:t xml:space="preserve">3. Tick bite paralysis: Ocular symptoms; Latency period 5-10 days; Acute, symmetric, ascending paralysis with reduction or absence of deep tendon reflexes, but no sensory signs and symptoms. </w:t>
      </w:r>
    </w:p>
    <w:p w:rsidR="00EB1504" w:rsidRDefault="00EB1504" w:rsidP="00EB1504">
      <w:pPr>
        <w:pStyle w:val="Default"/>
        <w:spacing w:line="276" w:lineRule="auto"/>
        <w:rPr>
          <w:rFonts w:asciiTheme="majorBidi" w:hAnsiTheme="majorBidi" w:cstheme="majorBidi"/>
          <w:color w:val="auto"/>
          <w:sz w:val="28"/>
          <w:szCs w:val="28"/>
        </w:rPr>
      </w:pPr>
    </w:p>
    <w:p w:rsidR="00EB1504" w:rsidRPr="00BE0969" w:rsidRDefault="00EB1504" w:rsidP="00EB1504">
      <w:pPr>
        <w:pStyle w:val="Default"/>
        <w:spacing w:line="276" w:lineRule="auto"/>
        <w:rPr>
          <w:rFonts w:asciiTheme="majorBidi" w:hAnsiTheme="majorBidi" w:cstheme="majorBidi"/>
          <w:color w:val="auto"/>
          <w:sz w:val="28"/>
          <w:szCs w:val="28"/>
        </w:rPr>
      </w:pPr>
      <w:r w:rsidRPr="00BE0969">
        <w:rPr>
          <w:rFonts w:asciiTheme="majorBidi" w:hAnsiTheme="majorBidi" w:cstheme="majorBidi"/>
          <w:b/>
          <w:bCs/>
          <w:color w:val="auto"/>
          <w:sz w:val="28"/>
          <w:szCs w:val="28"/>
        </w:rPr>
        <w:t xml:space="preserve">7. Diseases of the neuromuscular junction: </w:t>
      </w:r>
    </w:p>
    <w:p w:rsidR="00EB1504" w:rsidRPr="00BE0969" w:rsidRDefault="00EB1504" w:rsidP="00EB1504">
      <w:pPr>
        <w:pStyle w:val="Default"/>
        <w:spacing w:line="276" w:lineRule="auto"/>
        <w:rPr>
          <w:rFonts w:asciiTheme="majorBidi" w:hAnsiTheme="majorBidi" w:cstheme="majorBidi"/>
          <w:color w:val="auto"/>
          <w:sz w:val="28"/>
          <w:szCs w:val="28"/>
        </w:rPr>
      </w:pPr>
      <w:r w:rsidRPr="00BE0969">
        <w:rPr>
          <w:rFonts w:asciiTheme="majorBidi" w:hAnsiTheme="majorBidi" w:cstheme="majorBidi"/>
          <w:color w:val="auto"/>
          <w:sz w:val="28"/>
          <w:szCs w:val="28"/>
        </w:rPr>
        <w:t xml:space="preserve">Myasthenia gravis: Weakness, fatigability, diplopia, ptosis, dysarthria. Multifocal weakness. No sensory signs and symptoms or reduction or absence of deep tendon reflexes. </w:t>
      </w:r>
    </w:p>
    <w:p w:rsidR="00EB1504" w:rsidRPr="00BE0969" w:rsidRDefault="00EB1504" w:rsidP="00EB1504">
      <w:pPr>
        <w:pStyle w:val="Default"/>
        <w:spacing w:line="276" w:lineRule="auto"/>
        <w:rPr>
          <w:rFonts w:asciiTheme="majorBidi" w:eastAsia="Meiryo" w:hAnsiTheme="majorBidi" w:cstheme="majorBidi"/>
          <w:color w:val="auto"/>
          <w:sz w:val="28"/>
          <w:szCs w:val="28"/>
        </w:rPr>
      </w:pPr>
      <w:r w:rsidRPr="00BE0969">
        <w:rPr>
          <w:rFonts w:asciiTheme="majorBidi" w:hAnsiTheme="majorBidi" w:cstheme="majorBidi"/>
          <w:b/>
          <w:bCs/>
          <w:color w:val="auto"/>
          <w:sz w:val="28"/>
          <w:szCs w:val="28"/>
        </w:rPr>
        <w:t xml:space="preserve">8. Disorders of muscle: </w:t>
      </w:r>
      <w:r w:rsidRPr="00BE0969">
        <w:rPr>
          <w:rFonts w:asciiTheme="majorBidi" w:hAnsiTheme="majorBidi" w:cstheme="majorBidi"/>
          <w:color w:val="auto"/>
          <w:sz w:val="28"/>
          <w:szCs w:val="28"/>
        </w:rPr>
        <w:t xml:space="preserve">e.g. </w:t>
      </w:r>
      <w:proofErr w:type="spellStart"/>
      <w:r w:rsidRPr="00BE0969">
        <w:rPr>
          <w:rFonts w:asciiTheme="majorBidi" w:hAnsiTheme="majorBidi" w:cstheme="majorBidi"/>
          <w:color w:val="auto"/>
          <w:sz w:val="28"/>
          <w:szCs w:val="28"/>
        </w:rPr>
        <w:t>Polymyositis</w:t>
      </w:r>
      <w:proofErr w:type="spellEnd"/>
      <w:r w:rsidRPr="00BE0969">
        <w:rPr>
          <w:rFonts w:asciiTheme="majorBidi" w:hAnsiTheme="majorBidi" w:cstheme="majorBidi"/>
          <w:color w:val="auto"/>
          <w:sz w:val="28"/>
          <w:szCs w:val="28"/>
        </w:rPr>
        <w:t xml:space="preserve">: there is neoplasm or autoimmune disease. The onset: </w:t>
      </w:r>
      <w:proofErr w:type="spellStart"/>
      <w:r w:rsidRPr="00BE0969">
        <w:rPr>
          <w:rFonts w:asciiTheme="majorBidi" w:hAnsiTheme="majorBidi" w:cstheme="majorBidi"/>
          <w:color w:val="auto"/>
          <w:sz w:val="28"/>
          <w:szCs w:val="28"/>
        </w:rPr>
        <w:t>subacute</w:t>
      </w:r>
      <w:proofErr w:type="spellEnd"/>
      <w:r w:rsidRPr="00BE0969">
        <w:rPr>
          <w:rFonts w:asciiTheme="majorBidi" w:hAnsiTheme="majorBidi" w:cstheme="majorBidi"/>
          <w:color w:val="auto"/>
          <w:sz w:val="28"/>
          <w:szCs w:val="28"/>
        </w:rPr>
        <w:t xml:space="preserve">. Proximal muscle involvement </w:t>
      </w:r>
      <w:r w:rsidRPr="00BE0969">
        <w:rPr>
          <w:rFonts w:asciiTheme="majorBidi" w:eastAsia="Meiryo" w:hAnsiTheme="majorBidi" w:cstheme="majorBidi"/>
          <w:color w:val="auto"/>
          <w:sz w:val="28"/>
          <w:szCs w:val="28"/>
        </w:rPr>
        <w:t xml:space="preserve">→ distal ones. Progression of the disease: Weeks to months with reduction or absence of deep tendon reflexes, but no sensory signs and symptoms. </w:t>
      </w:r>
    </w:p>
    <w:p w:rsidR="00EB1504" w:rsidRPr="00BE0969" w:rsidRDefault="00EB1504" w:rsidP="00EB1504">
      <w:pPr>
        <w:jc w:val="right"/>
        <w:rPr>
          <w:rFonts w:asciiTheme="majorBidi" w:hAnsiTheme="majorBidi" w:cstheme="majorBidi"/>
          <w:sz w:val="28"/>
          <w:szCs w:val="28"/>
          <w:lang w:bidi="ar-IQ"/>
        </w:rPr>
      </w:pPr>
      <w:r w:rsidRPr="00BE0969">
        <w:rPr>
          <w:rFonts w:asciiTheme="majorBidi" w:eastAsia="Meiryo" w:hAnsiTheme="majorBidi" w:cstheme="majorBidi"/>
          <w:b/>
          <w:bCs/>
          <w:sz w:val="28"/>
          <w:szCs w:val="28"/>
        </w:rPr>
        <w:t xml:space="preserve">9. Hypokalemic periodic paralysis: </w:t>
      </w:r>
      <w:r w:rsidRPr="00BE0969">
        <w:rPr>
          <w:rFonts w:asciiTheme="majorBidi" w:eastAsia="Meiryo" w:hAnsiTheme="majorBidi" w:cstheme="majorBidi"/>
          <w:sz w:val="28"/>
          <w:szCs w:val="28"/>
        </w:rPr>
        <w:t xml:space="preserve">Proximal limb and respiratory muscles involved. The onset is sudden &amp; postprandial with reduction or absence of deep tendon reflexes, but no sensory signs and symptoms. </w:t>
      </w:r>
      <w:r w:rsidRPr="00BE0969">
        <w:rPr>
          <w:rFonts w:asciiTheme="majorBidi" w:eastAsia="Meiryo" w:hAnsiTheme="majorBidi" w:cstheme="majorBidi"/>
          <w:sz w:val="20"/>
          <w:szCs w:val="20"/>
        </w:rPr>
        <w:t>Page</w:t>
      </w:r>
    </w:p>
    <w:p w:rsidR="00EB1504" w:rsidRPr="00BE0969" w:rsidRDefault="00EB1504" w:rsidP="00EB1504">
      <w:pPr>
        <w:autoSpaceDE w:val="0"/>
        <w:autoSpaceDN w:val="0"/>
        <w:bidi w:val="0"/>
        <w:adjustRightInd w:val="0"/>
        <w:spacing w:after="0"/>
        <w:rPr>
          <w:rFonts w:asciiTheme="majorBidi" w:hAnsiTheme="majorBidi" w:cstheme="majorBidi"/>
          <w:color w:val="000000"/>
          <w:sz w:val="28"/>
          <w:szCs w:val="28"/>
        </w:rPr>
      </w:pPr>
      <w:r w:rsidRPr="00BE0969">
        <w:rPr>
          <w:rFonts w:asciiTheme="majorBidi" w:hAnsiTheme="majorBidi" w:cstheme="majorBidi"/>
          <w:b/>
          <w:bCs/>
          <w:color w:val="000000"/>
          <w:sz w:val="28"/>
          <w:szCs w:val="28"/>
        </w:rPr>
        <w:t xml:space="preserve">Critical illness polyneuropathy: </w:t>
      </w:r>
      <w:r w:rsidRPr="00BE0969">
        <w:rPr>
          <w:rFonts w:asciiTheme="majorBidi" w:hAnsiTheme="majorBidi" w:cstheme="majorBidi"/>
          <w:color w:val="000000"/>
          <w:sz w:val="28"/>
          <w:szCs w:val="28"/>
        </w:rPr>
        <w:t xml:space="preserve">Flaccid limbs and respiratory weakness. The onset: acute, following systemic inflammatory response syndrome/sepsis Progression: hours to days with reduction or absence of deep tendon reflexes, but no sensory signs and symptoms. </w:t>
      </w:r>
    </w:p>
    <w:p w:rsidR="00EB1504" w:rsidRPr="00BE0969" w:rsidRDefault="00EB1504" w:rsidP="00EB1504">
      <w:pPr>
        <w:autoSpaceDE w:val="0"/>
        <w:autoSpaceDN w:val="0"/>
        <w:bidi w:val="0"/>
        <w:adjustRightInd w:val="0"/>
        <w:spacing w:after="0"/>
        <w:rPr>
          <w:rFonts w:asciiTheme="majorBidi" w:hAnsiTheme="majorBidi" w:cstheme="majorBidi"/>
          <w:color w:val="000000"/>
          <w:sz w:val="28"/>
          <w:szCs w:val="28"/>
        </w:rPr>
      </w:pPr>
      <w:r w:rsidRPr="00BE0969">
        <w:rPr>
          <w:rFonts w:asciiTheme="majorBidi" w:hAnsiTheme="majorBidi" w:cstheme="majorBidi"/>
          <w:i/>
          <w:iCs/>
          <w:color w:val="000000"/>
          <w:sz w:val="28"/>
          <w:szCs w:val="28"/>
        </w:rPr>
        <w:lastRenderedPageBreak/>
        <w:t xml:space="preserve">"The possibility of polio should be considered in any case of acute flaccid paralysis even in countries where polio has been eradicated". </w:t>
      </w:r>
    </w:p>
    <w:p w:rsidR="00EB1504" w:rsidRDefault="00EB1504" w:rsidP="00EB1504">
      <w:pPr>
        <w:autoSpaceDE w:val="0"/>
        <w:autoSpaceDN w:val="0"/>
        <w:bidi w:val="0"/>
        <w:adjustRightInd w:val="0"/>
        <w:spacing w:after="0"/>
        <w:rPr>
          <w:rFonts w:asciiTheme="majorBidi" w:hAnsiTheme="majorBidi" w:cstheme="majorBidi"/>
          <w:color w:val="000000"/>
          <w:sz w:val="28"/>
          <w:szCs w:val="28"/>
        </w:rPr>
      </w:pPr>
    </w:p>
    <w:p w:rsidR="00EB1504" w:rsidRDefault="00EB1504" w:rsidP="00EB1504">
      <w:pPr>
        <w:autoSpaceDE w:val="0"/>
        <w:autoSpaceDN w:val="0"/>
        <w:bidi w:val="0"/>
        <w:adjustRightInd w:val="0"/>
        <w:spacing w:after="0"/>
        <w:rPr>
          <w:rFonts w:asciiTheme="majorBidi" w:hAnsiTheme="majorBidi" w:cstheme="majorBidi"/>
          <w:b/>
          <w:bCs/>
          <w:color w:val="000000"/>
          <w:sz w:val="32"/>
          <w:szCs w:val="32"/>
        </w:rPr>
      </w:pPr>
      <w:r w:rsidRPr="00BE0969">
        <w:rPr>
          <w:rFonts w:asciiTheme="majorBidi" w:hAnsiTheme="majorBidi" w:cstheme="majorBidi"/>
          <w:b/>
          <w:bCs/>
          <w:color w:val="000000"/>
          <w:sz w:val="32"/>
          <w:szCs w:val="32"/>
        </w:rPr>
        <w:t xml:space="preserve">Complications &amp; </w:t>
      </w:r>
      <w:proofErr w:type="spellStart"/>
      <w:r w:rsidRPr="00BE0969">
        <w:rPr>
          <w:rFonts w:asciiTheme="majorBidi" w:hAnsiTheme="majorBidi" w:cstheme="majorBidi"/>
          <w:b/>
          <w:bCs/>
          <w:color w:val="000000"/>
          <w:sz w:val="32"/>
          <w:szCs w:val="32"/>
        </w:rPr>
        <w:t>Sequelae</w:t>
      </w:r>
      <w:proofErr w:type="spellEnd"/>
      <w:r w:rsidRPr="00BE0969">
        <w:rPr>
          <w:rFonts w:asciiTheme="majorBidi" w:hAnsiTheme="majorBidi" w:cstheme="majorBidi"/>
          <w:b/>
          <w:bCs/>
          <w:color w:val="000000"/>
          <w:sz w:val="32"/>
          <w:szCs w:val="32"/>
        </w:rPr>
        <w:t xml:space="preserve">: </w:t>
      </w:r>
    </w:p>
    <w:p w:rsidR="00EB1504" w:rsidRPr="00BE0969" w:rsidRDefault="00EB1504" w:rsidP="00EB1504">
      <w:pPr>
        <w:autoSpaceDE w:val="0"/>
        <w:autoSpaceDN w:val="0"/>
        <w:bidi w:val="0"/>
        <w:adjustRightInd w:val="0"/>
        <w:spacing w:after="0"/>
        <w:rPr>
          <w:rFonts w:asciiTheme="majorBidi" w:hAnsiTheme="majorBidi" w:cstheme="majorBidi"/>
          <w:b/>
          <w:bCs/>
          <w:color w:val="000000"/>
          <w:sz w:val="32"/>
          <w:szCs w:val="32"/>
        </w:rPr>
      </w:pPr>
    </w:p>
    <w:p w:rsidR="00EB1504" w:rsidRPr="00BE0969" w:rsidRDefault="00EB1504" w:rsidP="00EB1504">
      <w:pPr>
        <w:autoSpaceDE w:val="0"/>
        <w:autoSpaceDN w:val="0"/>
        <w:bidi w:val="0"/>
        <w:adjustRightInd w:val="0"/>
        <w:spacing w:after="0"/>
        <w:rPr>
          <w:rFonts w:asciiTheme="majorBidi" w:hAnsiTheme="majorBidi" w:cstheme="majorBidi"/>
          <w:color w:val="000000"/>
          <w:sz w:val="28"/>
          <w:szCs w:val="28"/>
        </w:rPr>
      </w:pPr>
      <w:r w:rsidRPr="00BE0969">
        <w:rPr>
          <w:rFonts w:asciiTheme="majorBidi" w:hAnsiTheme="majorBidi" w:cstheme="majorBidi"/>
          <w:color w:val="000000"/>
          <w:sz w:val="28"/>
          <w:szCs w:val="28"/>
        </w:rPr>
        <w:t>Complications are the result of the acute and permanent effects of paralysis. Respiratory, pharyngeal, bladder, and bowel malfunction are most critical. Deaths are usually due to complications arising from respiratory dysfunction. Limbs injured near the time of infection, such as by intramuscular injections, excessive prior use, or trauma, tend to be most severely involved and have the worst prognosis for recovery (</w:t>
      </w:r>
      <w:r w:rsidRPr="00BE0969">
        <w:rPr>
          <w:rFonts w:asciiTheme="majorBidi" w:hAnsiTheme="majorBidi" w:cstheme="majorBidi"/>
          <w:b/>
          <w:bCs/>
          <w:color w:val="000000"/>
          <w:sz w:val="28"/>
          <w:szCs w:val="28"/>
        </w:rPr>
        <w:t>provocation paralysis</w:t>
      </w:r>
      <w:r w:rsidRPr="00BE0969">
        <w:rPr>
          <w:rFonts w:asciiTheme="majorBidi" w:hAnsiTheme="majorBidi" w:cstheme="majorBidi"/>
          <w:color w:val="000000"/>
          <w:sz w:val="28"/>
          <w:szCs w:val="28"/>
        </w:rPr>
        <w:t xml:space="preserve">). </w:t>
      </w:r>
      <w:proofErr w:type="spellStart"/>
      <w:r w:rsidRPr="00BE0969">
        <w:rPr>
          <w:rFonts w:asciiTheme="majorBidi" w:hAnsiTheme="majorBidi" w:cstheme="majorBidi"/>
          <w:color w:val="000000"/>
          <w:sz w:val="28"/>
          <w:szCs w:val="28"/>
        </w:rPr>
        <w:t>Postpolio</w:t>
      </w:r>
      <w:proofErr w:type="spellEnd"/>
      <w:r w:rsidRPr="00BE0969">
        <w:rPr>
          <w:rFonts w:asciiTheme="majorBidi" w:hAnsiTheme="majorBidi" w:cstheme="majorBidi"/>
          <w:color w:val="000000"/>
          <w:sz w:val="28"/>
          <w:szCs w:val="28"/>
        </w:rPr>
        <w:t xml:space="preserve"> muscular atrophy occurs in 30–40% of paralyzed limbs 20–30 years later, characterized by increasing weakness and </w:t>
      </w:r>
      <w:proofErr w:type="spellStart"/>
      <w:r w:rsidRPr="00BE0969">
        <w:rPr>
          <w:rFonts w:asciiTheme="majorBidi" w:hAnsiTheme="majorBidi" w:cstheme="majorBidi"/>
          <w:color w:val="000000"/>
          <w:sz w:val="28"/>
          <w:szCs w:val="28"/>
        </w:rPr>
        <w:t>fasciculations</w:t>
      </w:r>
      <w:proofErr w:type="spellEnd"/>
      <w:r w:rsidRPr="00BE0969">
        <w:rPr>
          <w:rFonts w:asciiTheme="majorBidi" w:hAnsiTheme="majorBidi" w:cstheme="majorBidi"/>
          <w:color w:val="000000"/>
          <w:sz w:val="28"/>
          <w:szCs w:val="28"/>
        </w:rPr>
        <w:t xml:space="preserve"> in previously affected, partially recovered limbs. </w:t>
      </w:r>
    </w:p>
    <w:p w:rsidR="00EB1504" w:rsidRPr="00BE0969" w:rsidRDefault="00EB1504" w:rsidP="00EB1504">
      <w:pPr>
        <w:autoSpaceDE w:val="0"/>
        <w:autoSpaceDN w:val="0"/>
        <w:bidi w:val="0"/>
        <w:adjustRightInd w:val="0"/>
        <w:spacing w:after="0"/>
        <w:rPr>
          <w:rFonts w:asciiTheme="majorBidi" w:hAnsiTheme="majorBidi" w:cstheme="majorBidi"/>
          <w:color w:val="000000"/>
          <w:sz w:val="28"/>
          <w:szCs w:val="28"/>
        </w:rPr>
      </w:pPr>
      <w:r w:rsidRPr="00BE0969">
        <w:rPr>
          <w:rFonts w:asciiTheme="majorBidi" w:hAnsiTheme="majorBidi" w:cstheme="majorBidi"/>
          <w:color w:val="000000"/>
          <w:sz w:val="28"/>
          <w:szCs w:val="28"/>
        </w:rPr>
        <w:t xml:space="preserve">Treatment &amp; Prognosis: </w:t>
      </w:r>
    </w:p>
    <w:p w:rsidR="00EB1504" w:rsidRDefault="00EB1504" w:rsidP="00EB1504">
      <w:pPr>
        <w:pStyle w:val="Default"/>
        <w:spacing w:line="276" w:lineRule="auto"/>
        <w:rPr>
          <w:rFonts w:asciiTheme="majorBidi" w:hAnsiTheme="majorBidi" w:cstheme="majorBidi"/>
          <w:sz w:val="28"/>
          <w:szCs w:val="28"/>
        </w:rPr>
      </w:pPr>
    </w:p>
    <w:p w:rsidR="00EB1504" w:rsidRPr="00BE0969" w:rsidRDefault="00EB1504" w:rsidP="00EB1504">
      <w:pPr>
        <w:pStyle w:val="Default"/>
        <w:spacing w:line="276" w:lineRule="auto"/>
        <w:rPr>
          <w:rFonts w:asciiTheme="majorBidi" w:hAnsiTheme="majorBidi" w:cstheme="majorBidi"/>
          <w:color w:val="auto"/>
          <w:sz w:val="28"/>
          <w:szCs w:val="28"/>
        </w:rPr>
      </w:pPr>
      <w:r w:rsidRPr="00BE0969">
        <w:rPr>
          <w:rFonts w:asciiTheme="majorBidi" w:hAnsiTheme="majorBidi" w:cstheme="majorBidi"/>
          <w:sz w:val="28"/>
          <w:szCs w:val="28"/>
        </w:rPr>
        <w:t xml:space="preserve">Therapy is </w:t>
      </w:r>
      <w:r w:rsidRPr="00BE0969">
        <w:rPr>
          <w:rFonts w:asciiTheme="majorBidi" w:hAnsiTheme="majorBidi" w:cstheme="majorBidi"/>
          <w:b/>
          <w:bCs/>
          <w:sz w:val="28"/>
          <w:szCs w:val="28"/>
        </w:rPr>
        <w:t>supportive</w:t>
      </w:r>
      <w:r w:rsidRPr="00BE0969">
        <w:rPr>
          <w:rFonts w:asciiTheme="majorBidi" w:hAnsiTheme="majorBidi" w:cstheme="majorBidi"/>
          <w:sz w:val="28"/>
          <w:szCs w:val="28"/>
        </w:rPr>
        <w:t xml:space="preserve">. Bed rest, fever and pain control (heat therapy is helpful), and careful attention to progression of weakness (particularly of respiratory muscles) are important. No intramuscular injections should be given during the acute phase. Intubation or tracheostomy for secretion control and catheter drainage of the bladder may be needed. Assisted ventilation and enteral feeding may also be needed. Specific therapy is not available for poliomyelitis. </w:t>
      </w:r>
      <w:proofErr w:type="spellStart"/>
      <w:r w:rsidRPr="00BE0969">
        <w:rPr>
          <w:rFonts w:asciiTheme="majorBidi" w:hAnsiTheme="majorBidi" w:cstheme="majorBidi"/>
          <w:b/>
          <w:bCs/>
          <w:sz w:val="28"/>
          <w:szCs w:val="28"/>
        </w:rPr>
        <w:t>Pleconaril</w:t>
      </w:r>
      <w:proofErr w:type="spellEnd"/>
      <w:r w:rsidRPr="00BE0969">
        <w:rPr>
          <w:rFonts w:asciiTheme="majorBidi" w:hAnsiTheme="majorBidi" w:cstheme="majorBidi"/>
          <w:sz w:val="28"/>
          <w:szCs w:val="28"/>
        </w:rPr>
        <w:t xml:space="preserve">, which is active against most </w:t>
      </w:r>
      <w:proofErr w:type="spellStart"/>
      <w:r w:rsidRPr="00BE0969">
        <w:rPr>
          <w:rFonts w:asciiTheme="majorBidi" w:hAnsiTheme="majorBidi" w:cstheme="majorBidi"/>
          <w:sz w:val="28"/>
          <w:szCs w:val="28"/>
        </w:rPr>
        <w:t>enteroviruses</w:t>
      </w:r>
      <w:proofErr w:type="spellEnd"/>
      <w:r w:rsidRPr="00BE0969">
        <w:rPr>
          <w:rFonts w:asciiTheme="majorBidi" w:hAnsiTheme="majorBidi" w:cstheme="majorBidi"/>
          <w:sz w:val="28"/>
          <w:szCs w:val="28"/>
        </w:rPr>
        <w:t xml:space="preserve">, has "no effect" on polioviruses. </w:t>
      </w:r>
      <w:proofErr w:type="spellStart"/>
      <w:r w:rsidRPr="00BE0969">
        <w:rPr>
          <w:rFonts w:asciiTheme="majorBidi" w:hAnsiTheme="majorBidi" w:cstheme="majorBidi"/>
          <w:sz w:val="28"/>
          <w:szCs w:val="28"/>
        </w:rPr>
        <w:t>Postpolio</w:t>
      </w:r>
      <w:proofErr w:type="spellEnd"/>
      <w:r w:rsidRPr="00BE0969">
        <w:rPr>
          <w:rFonts w:asciiTheme="majorBidi" w:hAnsiTheme="majorBidi" w:cstheme="majorBidi"/>
          <w:sz w:val="28"/>
          <w:szCs w:val="28"/>
        </w:rPr>
        <w:t xml:space="preserve"> paralysis is mild in about 30%, permanent in 15%, and results in death in 5–10%. Disease is worse in adults and pregnant women than in children.</w:t>
      </w:r>
    </w:p>
    <w:p w:rsidR="00EB1504" w:rsidRDefault="00EB1504" w:rsidP="00EB1504">
      <w:pPr>
        <w:pStyle w:val="Default"/>
        <w:spacing w:line="276" w:lineRule="auto"/>
        <w:rPr>
          <w:rFonts w:asciiTheme="majorBidi" w:hAnsiTheme="majorBidi" w:cstheme="majorBidi"/>
          <w:color w:val="auto"/>
          <w:sz w:val="28"/>
          <w:szCs w:val="28"/>
        </w:rPr>
      </w:pPr>
    </w:p>
    <w:p w:rsidR="00EB1504" w:rsidRDefault="00EB1504" w:rsidP="00EB1504">
      <w:pPr>
        <w:pStyle w:val="Default"/>
        <w:spacing w:line="276" w:lineRule="auto"/>
        <w:rPr>
          <w:rFonts w:asciiTheme="majorBidi" w:hAnsiTheme="majorBidi" w:cstheme="majorBidi"/>
          <w:color w:val="auto"/>
          <w:sz w:val="28"/>
          <w:szCs w:val="28"/>
        </w:rPr>
      </w:pPr>
    </w:p>
    <w:p w:rsidR="00EB1504" w:rsidRPr="00BE0969" w:rsidRDefault="00EB1504" w:rsidP="00EB1504">
      <w:pPr>
        <w:pStyle w:val="Default"/>
        <w:spacing w:line="276" w:lineRule="auto"/>
        <w:rPr>
          <w:rFonts w:asciiTheme="majorBidi" w:hAnsiTheme="majorBidi" w:cstheme="majorBidi"/>
          <w:color w:val="auto"/>
          <w:sz w:val="28"/>
          <w:szCs w:val="28"/>
        </w:rPr>
      </w:pPr>
      <w:r w:rsidRPr="00BE0969">
        <w:rPr>
          <w:rFonts w:asciiTheme="majorBidi" w:hAnsiTheme="majorBidi" w:cstheme="majorBidi"/>
          <w:color w:val="auto"/>
          <w:sz w:val="28"/>
          <w:szCs w:val="28"/>
        </w:rPr>
        <w:t xml:space="preserve"> </w:t>
      </w:r>
    </w:p>
    <w:p w:rsidR="00EB1504" w:rsidRDefault="00EB1504" w:rsidP="00EB1504">
      <w:pPr>
        <w:jc w:val="right"/>
        <w:rPr>
          <w:rFonts w:asciiTheme="majorBidi" w:hAnsiTheme="majorBidi" w:cstheme="majorBidi" w:hint="cs"/>
          <w:b/>
          <w:bCs/>
          <w:sz w:val="32"/>
          <w:szCs w:val="32"/>
          <w:rtl/>
          <w:lang w:bidi="ar-IQ"/>
        </w:rPr>
      </w:pPr>
    </w:p>
    <w:p w:rsidR="00EB1504" w:rsidRPr="00EB1504" w:rsidRDefault="00EB1504" w:rsidP="00EB1504">
      <w:pPr>
        <w:jc w:val="right"/>
        <w:rPr>
          <w:rFonts w:asciiTheme="majorBidi" w:hAnsiTheme="majorBidi" w:cstheme="majorBidi"/>
          <w:b/>
          <w:bCs/>
          <w:sz w:val="32"/>
          <w:szCs w:val="32"/>
        </w:rPr>
      </w:pPr>
    </w:p>
    <w:p w:rsidR="00EB1504" w:rsidRDefault="00EB1504" w:rsidP="00EB1504">
      <w:pPr>
        <w:rPr>
          <w:rFonts w:hint="cs"/>
          <w:lang w:bidi="ar-IQ"/>
        </w:rPr>
      </w:pPr>
    </w:p>
    <w:p w:rsidR="00BE0969" w:rsidRPr="00EB1504" w:rsidRDefault="00BE0969" w:rsidP="00EB1504">
      <w:pPr>
        <w:jc w:val="right"/>
        <w:rPr>
          <w:rFonts w:hint="cs"/>
          <w:lang w:bidi="ar-IQ"/>
        </w:rPr>
      </w:pPr>
    </w:p>
    <w:p w:rsidR="00EB1504" w:rsidRPr="00BE0969" w:rsidRDefault="00EB1504" w:rsidP="00EB1504">
      <w:pPr>
        <w:pStyle w:val="Default"/>
        <w:pageBreakBefore/>
        <w:spacing w:line="276" w:lineRule="auto"/>
        <w:rPr>
          <w:rFonts w:asciiTheme="majorBidi" w:hAnsiTheme="majorBidi" w:cstheme="majorBidi"/>
          <w:color w:val="auto"/>
          <w:sz w:val="28"/>
          <w:szCs w:val="28"/>
        </w:rPr>
      </w:pPr>
    </w:p>
    <w:p w:rsidR="00EB1504" w:rsidRPr="00BE0969" w:rsidRDefault="00EB1504" w:rsidP="00EB1504">
      <w:pPr>
        <w:pStyle w:val="Default"/>
        <w:spacing w:line="276" w:lineRule="auto"/>
        <w:rPr>
          <w:rFonts w:asciiTheme="majorBidi" w:hAnsiTheme="majorBidi" w:cstheme="majorBidi"/>
          <w:color w:val="auto"/>
          <w:sz w:val="28"/>
          <w:szCs w:val="28"/>
        </w:rPr>
      </w:pPr>
    </w:p>
    <w:p w:rsidR="008D2D9A" w:rsidRPr="00EB1504" w:rsidRDefault="008D2D9A" w:rsidP="008D2D9A">
      <w:pPr>
        <w:pStyle w:val="Default"/>
        <w:spacing w:line="276" w:lineRule="auto"/>
        <w:rPr>
          <w:rFonts w:asciiTheme="majorBidi" w:hAnsiTheme="majorBidi" w:cstheme="majorBidi"/>
          <w:sz w:val="28"/>
          <w:szCs w:val="28"/>
        </w:rPr>
      </w:pPr>
    </w:p>
    <w:p w:rsidR="008D2D9A" w:rsidRDefault="008D2D9A" w:rsidP="008D2D9A">
      <w:pPr>
        <w:pStyle w:val="Default"/>
        <w:spacing w:line="276" w:lineRule="auto"/>
        <w:rPr>
          <w:rFonts w:asciiTheme="majorBidi" w:hAnsiTheme="majorBidi" w:cstheme="majorBidi"/>
          <w:sz w:val="28"/>
          <w:szCs w:val="28"/>
        </w:rPr>
      </w:pPr>
    </w:p>
    <w:p w:rsidR="008D2D9A" w:rsidRDefault="008D2D9A" w:rsidP="008D2D9A">
      <w:pPr>
        <w:pStyle w:val="Default"/>
        <w:spacing w:line="276" w:lineRule="auto"/>
        <w:rPr>
          <w:rFonts w:asciiTheme="majorBidi" w:hAnsiTheme="majorBidi" w:cstheme="majorBidi"/>
          <w:sz w:val="28"/>
          <w:szCs w:val="28"/>
        </w:rPr>
      </w:pPr>
    </w:p>
    <w:p w:rsidR="008D2D9A" w:rsidRPr="008D2D9A" w:rsidRDefault="008D2D9A" w:rsidP="008D2D9A">
      <w:pPr>
        <w:rPr>
          <w:rFonts w:hint="cs"/>
          <w:rtl/>
          <w:lang w:bidi="ar-IQ"/>
        </w:rPr>
      </w:pPr>
    </w:p>
    <w:p w:rsidR="008D2D9A" w:rsidRPr="00BE0969" w:rsidRDefault="008D2D9A" w:rsidP="008D2D9A">
      <w:pPr>
        <w:pStyle w:val="Default"/>
        <w:spacing w:line="276" w:lineRule="auto"/>
        <w:rPr>
          <w:rFonts w:asciiTheme="majorBidi" w:hAnsiTheme="majorBidi" w:cstheme="majorBidi"/>
          <w:color w:val="auto"/>
          <w:sz w:val="28"/>
          <w:szCs w:val="28"/>
        </w:rPr>
      </w:pPr>
    </w:p>
    <w:p w:rsidR="008D2D9A" w:rsidRPr="008D2D9A" w:rsidRDefault="008D2D9A" w:rsidP="008D2D9A">
      <w:pPr>
        <w:jc w:val="right"/>
        <w:rPr>
          <w:rFonts w:hint="cs"/>
          <w:rtl/>
          <w:lang w:bidi="ar-IQ"/>
        </w:rPr>
      </w:pPr>
      <w:bookmarkStart w:id="0" w:name="_GoBack"/>
      <w:bookmarkEnd w:id="0"/>
    </w:p>
    <w:p w:rsidR="008D2D9A" w:rsidRDefault="00BE0969" w:rsidP="008D2D9A">
      <w:pPr>
        <w:pStyle w:val="Default"/>
        <w:pageBreakBefore/>
        <w:spacing w:line="276" w:lineRule="auto"/>
        <w:rPr>
          <w:rFonts w:asciiTheme="majorBidi" w:hAnsiTheme="majorBidi" w:cstheme="majorBidi"/>
          <w:sz w:val="28"/>
          <w:szCs w:val="28"/>
        </w:rPr>
      </w:pPr>
      <w:r w:rsidRPr="00BE0969">
        <w:rPr>
          <w:rFonts w:asciiTheme="majorBidi" w:hAnsiTheme="majorBidi" w:cstheme="majorBidi"/>
          <w:sz w:val="28"/>
          <w:szCs w:val="28"/>
        </w:rPr>
        <w:lastRenderedPageBreak/>
        <w:t>.</w:t>
      </w:r>
    </w:p>
    <w:p w:rsidR="00BE0969" w:rsidRPr="00BE0969" w:rsidRDefault="00BE0969" w:rsidP="008D2D9A">
      <w:pPr>
        <w:jc w:val="right"/>
        <w:rPr>
          <w:rFonts w:asciiTheme="majorBidi" w:hAnsiTheme="majorBidi" w:cstheme="majorBidi" w:hint="cs"/>
          <w:sz w:val="28"/>
          <w:szCs w:val="28"/>
          <w:rtl/>
          <w:lang w:bidi="ar-IQ"/>
        </w:rPr>
      </w:pPr>
    </w:p>
    <w:sectPr w:rsidR="00BE0969" w:rsidRPr="00BE0969" w:rsidSect="00BE0969">
      <w:headerReference w:type="default" r:id="rId8"/>
      <w:footerReference w:type="default" r:id="rId9"/>
      <w:pgSz w:w="11906" w:h="16838"/>
      <w:pgMar w:top="1440" w:right="991" w:bottom="1440" w:left="851"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CEE" w:rsidRDefault="006A7CEE" w:rsidP="00BE0969">
      <w:pPr>
        <w:spacing w:after="0" w:line="240" w:lineRule="auto"/>
      </w:pPr>
      <w:r>
        <w:separator/>
      </w:r>
    </w:p>
  </w:endnote>
  <w:endnote w:type="continuationSeparator" w:id="0">
    <w:p w:rsidR="006A7CEE" w:rsidRDefault="006A7CEE" w:rsidP="00BE0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4339003"/>
      <w:docPartObj>
        <w:docPartGallery w:val="Page Numbers (Bottom of Page)"/>
        <w:docPartUnique/>
      </w:docPartObj>
    </w:sdtPr>
    <w:sdtContent>
      <w:p w:rsidR="00BE0969" w:rsidRDefault="00BE0969">
        <w:pPr>
          <w:pStyle w:val="a4"/>
        </w:pPr>
        <w:r w:rsidRPr="00BE0969">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33303ECC" wp14:editId="5CE5DE8A">
                  <wp:simplePos x="0" y="0"/>
                  <wp:positionH relativeFrom="margin">
                    <wp:align>center</wp:align>
                  </wp:positionH>
                  <wp:positionV relativeFrom="bottomMargin">
                    <wp:align>center</wp:align>
                  </wp:positionV>
                  <wp:extent cx="661670" cy="502920"/>
                  <wp:effectExtent l="5080" t="9525" r="9525" b="11430"/>
                  <wp:wrapNone/>
                  <wp:docPr id="652"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BE0969" w:rsidRDefault="00BE0969">
                              <w:pPr>
                                <w:jc w:val="center"/>
                                <w:rPr>
                                  <w:color w:val="7F7F7F" w:themeColor="text1" w:themeTint="80"/>
                                </w:rPr>
                              </w:pPr>
                              <w:r>
                                <w:fldChar w:fldCharType="begin"/>
                              </w:r>
                              <w:r>
                                <w:instrText>PAGE    \* MERGEFORMAT</w:instrText>
                              </w:r>
                              <w:r>
                                <w:fldChar w:fldCharType="separate"/>
                              </w:r>
                              <w:r w:rsidR="00EB1504" w:rsidRPr="00EB1504">
                                <w:rPr>
                                  <w:noProof/>
                                  <w:color w:val="7F7F7F" w:themeColor="text1" w:themeTint="80"/>
                                  <w:rtl/>
                                  <w:lang w:val="ar-SA"/>
                                </w:rPr>
                                <w:t>5</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شكل تلقائي 13" o:spid="_x0000_s1026" type="#_x0000_t98" style="position:absolute;left:0;text-align:left;margin-left:0;margin-top:0;width:52.1pt;height:39.6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" adj="5400" filled="f" fillcolor="#17365d" strokecolor="#a5a5a5">
                  <v:textbox>
                    <w:txbxContent>
                      <w:p w:rsidR="00BE0969" w:rsidRDefault="00BE0969">
                        <w:pPr>
                          <w:jc w:val="center"/>
                          <w:rPr>
                            <w:color w:val="7F7F7F" w:themeColor="text1" w:themeTint="80"/>
                          </w:rPr>
                        </w:pPr>
                        <w:r>
                          <w:fldChar w:fldCharType="begin"/>
                        </w:r>
                        <w:r>
                          <w:instrText>PAGE    \* MERGEFORMAT</w:instrText>
                        </w:r>
                        <w:r>
                          <w:fldChar w:fldCharType="separate"/>
                        </w:r>
                        <w:r w:rsidR="00EB1504" w:rsidRPr="00EB1504">
                          <w:rPr>
                            <w:noProof/>
                            <w:color w:val="7F7F7F" w:themeColor="text1" w:themeTint="80"/>
                            <w:rtl/>
                            <w:lang w:val="ar-SA"/>
                          </w:rPr>
                          <w:t>5</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CEE" w:rsidRDefault="006A7CEE" w:rsidP="00BE0969">
      <w:pPr>
        <w:spacing w:after="0" w:line="240" w:lineRule="auto"/>
      </w:pPr>
      <w:r>
        <w:separator/>
      </w:r>
    </w:p>
  </w:footnote>
  <w:footnote w:type="continuationSeparator" w:id="0">
    <w:p w:rsidR="006A7CEE" w:rsidRDefault="006A7CEE" w:rsidP="00BE0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969" w:rsidRPr="00CC6019" w:rsidRDefault="00BE0969" w:rsidP="00BE0969">
    <w:pPr>
      <w:pStyle w:val="a3"/>
      <w:jc w:val="right"/>
      <w:rPr>
        <w:lang w:bidi="ar-IQ"/>
      </w:rPr>
    </w:pPr>
    <w:proofErr w:type="spellStart"/>
    <w:r w:rsidRPr="00CC6019">
      <w:rPr>
        <w:lang w:bidi="ar-IQ"/>
      </w:rPr>
      <w:t>AL.mustansiriyah</w:t>
    </w:r>
    <w:proofErr w:type="spellEnd"/>
    <w:r w:rsidRPr="00CC6019">
      <w:rPr>
        <w:lang w:bidi="ar-IQ"/>
      </w:rPr>
      <w:t xml:space="preserve"> university college of medicine /</w:t>
    </w:r>
    <w:r>
      <w:rPr>
        <w:lang w:bidi="ar-IQ"/>
      </w:rPr>
      <w:t>pediatric department/</w:t>
    </w:r>
    <w:r w:rsidRPr="00CC6019">
      <w:rPr>
        <w:lang w:bidi="ar-IQ"/>
      </w:rPr>
      <w:t xml:space="preserve"> </w:t>
    </w:r>
    <w:proofErr w:type="spellStart"/>
    <w:r w:rsidRPr="00CC6019">
      <w:rPr>
        <w:lang w:bidi="ar-IQ"/>
      </w:rPr>
      <w:t>Dr.Athraa</w:t>
    </w:r>
    <w:proofErr w:type="spellEnd"/>
    <w:r w:rsidRPr="00CC6019">
      <w:rPr>
        <w:lang w:bidi="ar-IQ"/>
      </w:rPr>
      <w:t xml:space="preserve"> </w:t>
    </w:r>
    <w:proofErr w:type="spellStart"/>
    <w:r w:rsidRPr="00CC6019">
      <w:rPr>
        <w:lang w:bidi="ar-IQ"/>
      </w:rPr>
      <w:t>Qahtan</w:t>
    </w:r>
    <w:proofErr w:type="spellEnd"/>
    <w:r w:rsidRPr="00CC6019">
      <w:rPr>
        <w:lang w:bidi="ar-IQ"/>
      </w:rPr>
      <w:t>/ 2024</w:t>
    </w:r>
  </w:p>
  <w:p w:rsidR="00BE0969" w:rsidRPr="00BE0969" w:rsidRDefault="00BE0969" w:rsidP="00BE0969">
    <w:pPr>
      <w:pStyle w:val="a3"/>
      <w:ind w:left="-625" w:firstLine="625"/>
      <w:jc w:val="right"/>
      <w:rPr>
        <w:rFonts w:hint="cs"/>
        <w:rtl/>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42EEF"/>
    <w:multiLevelType w:val="hybridMultilevel"/>
    <w:tmpl w:val="C54EEA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9B"/>
    <w:rsid w:val="006A7CEE"/>
    <w:rsid w:val="007E7688"/>
    <w:rsid w:val="008D2D9A"/>
    <w:rsid w:val="009914E6"/>
    <w:rsid w:val="00BE0969"/>
    <w:rsid w:val="00EB1504"/>
    <w:rsid w:val="00FA7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0969"/>
    <w:pPr>
      <w:autoSpaceDE w:val="0"/>
      <w:autoSpaceDN w:val="0"/>
      <w:adjustRightInd w:val="0"/>
      <w:spacing w:after="0" w:line="240" w:lineRule="auto"/>
    </w:pPr>
    <w:rPr>
      <w:rFonts w:ascii="Century Gothic" w:hAnsi="Century Gothic" w:cs="Century Gothic"/>
      <w:color w:val="000000"/>
      <w:sz w:val="24"/>
      <w:szCs w:val="24"/>
    </w:rPr>
  </w:style>
  <w:style w:type="paragraph" w:styleId="a3">
    <w:name w:val="header"/>
    <w:basedOn w:val="a"/>
    <w:link w:val="Char"/>
    <w:uiPriority w:val="99"/>
    <w:unhideWhenUsed/>
    <w:rsid w:val="00BE0969"/>
    <w:pPr>
      <w:tabs>
        <w:tab w:val="center" w:pos="4153"/>
        <w:tab w:val="right" w:pos="8306"/>
      </w:tabs>
      <w:spacing w:after="0" w:line="240" w:lineRule="auto"/>
    </w:pPr>
  </w:style>
  <w:style w:type="character" w:customStyle="1" w:styleId="Char">
    <w:name w:val="رأس الصفحة Char"/>
    <w:basedOn w:val="a0"/>
    <w:link w:val="a3"/>
    <w:uiPriority w:val="99"/>
    <w:rsid w:val="00BE0969"/>
  </w:style>
  <w:style w:type="paragraph" w:styleId="a4">
    <w:name w:val="footer"/>
    <w:basedOn w:val="a"/>
    <w:link w:val="Char0"/>
    <w:uiPriority w:val="99"/>
    <w:unhideWhenUsed/>
    <w:rsid w:val="00BE0969"/>
    <w:pPr>
      <w:tabs>
        <w:tab w:val="center" w:pos="4153"/>
        <w:tab w:val="right" w:pos="8306"/>
      </w:tabs>
      <w:spacing w:after="0" w:line="240" w:lineRule="auto"/>
    </w:pPr>
  </w:style>
  <w:style w:type="character" w:customStyle="1" w:styleId="Char0">
    <w:name w:val="تذييل الصفحة Char"/>
    <w:basedOn w:val="a0"/>
    <w:link w:val="a4"/>
    <w:uiPriority w:val="99"/>
    <w:rsid w:val="00BE09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0969"/>
    <w:pPr>
      <w:autoSpaceDE w:val="0"/>
      <w:autoSpaceDN w:val="0"/>
      <w:adjustRightInd w:val="0"/>
      <w:spacing w:after="0" w:line="240" w:lineRule="auto"/>
    </w:pPr>
    <w:rPr>
      <w:rFonts w:ascii="Century Gothic" w:hAnsi="Century Gothic" w:cs="Century Gothic"/>
      <w:color w:val="000000"/>
      <w:sz w:val="24"/>
      <w:szCs w:val="24"/>
    </w:rPr>
  </w:style>
  <w:style w:type="paragraph" w:styleId="a3">
    <w:name w:val="header"/>
    <w:basedOn w:val="a"/>
    <w:link w:val="Char"/>
    <w:uiPriority w:val="99"/>
    <w:unhideWhenUsed/>
    <w:rsid w:val="00BE0969"/>
    <w:pPr>
      <w:tabs>
        <w:tab w:val="center" w:pos="4153"/>
        <w:tab w:val="right" w:pos="8306"/>
      </w:tabs>
      <w:spacing w:after="0" w:line="240" w:lineRule="auto"/>
    </w:pPr>
  </w:style>
  <w:style w:type="character" w:customStyle="1" w:styleId="Char">
    <w:name w:val="رأس الصفحة Char"/>
    <w:basedOn w:val="a0"/>
    <w:link w:val="a3"/>
    <w:uiPriority w:val="99"/>
    <w:rsid w:val="00BE0969"/>
  </w:style>
  <w:style w:type="paragraph" w:styleId="a4">
    <w:name w:val="footer"/>
    <w:basedOn w:val="a"/>
    <w:link w:val="Char0"/>
    <w:uiPriority w:val="99"/>
    <w:unhideWhenUsed/>
    <w:rsid w:val="00BE0969"/>
    <w:pPr>
      <w:tabs>
        <w:tab w:val="center" w:pos="4153"/>
        <w:tab w:val="right" w:pos="8306"/>
      </w:tabs>
      <w:spacing w:after="0" w:line="240" w:lineRule="auto"/>
    </w:pPr>
  </w:style>
  <w:style w:type="character" w:customStyle="1" w:styleId="Char0">
    <w:name w:val="تذييل الصفحة Char"/>
    <w:basedOn w:val="a0"/>
    <w:link w:val="a4"/>
    <w:uiPriority w:val="99"/>
    <w:rsid w:val="00BE0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1187</Words>
  <Characters>6768</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 Light</dc:creator>
  <cp:keywords/>
  <dc:description/>
  <cp:lastModifiedBy>Sky Light</cp:lastModifiedBy>
  <cp:revision>2</cp:revision>
  <dcterms:created xsi:type="dcterms:W3CDTF">2024-11-06T20:34:00Z</dcterms:created>
  <dcterms:modified xsi:type="dcterms:W3CDTF">2024-11-06T21:05:00Z</dcterms:modified>
</cp:coreProperties>
</file>