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4B" w:rsidRDefault="0042084B" w:rsidP="0042084B">
      <w:pPr>
        <w:autoSpaceDE w:val="0"/>
        <w:autoSpaceDN w:val="0"/>
        <w:bidi/>
        <w:adjustRightInd w:val="0"/>
        <w:spacing w:after="0" w:line="240" w:lineRule="auto"/>
        <w:jc w:val="center"/>
        <w:rPr>
          <w:rFonts w:ascii="TimesNewRomanPSMT" w:cs="TimesNewRomanPSMT" w:hint="cs"/>
          <w:b/>
          <w:bCs/>
          <w:sz w:val="40"/>
          <w:szCs w:val="40"/>
          <w:rtl/>
        </w:rPr>
      </w:pPr>
    </w:p>
    <w:p w:rsidR="0042084B" w:rsidRDefault="0042084B" w:rsidP="0042084B">
      <w:pPr>
        <w:autoSpaceDE w:val="0"/>
        <w:autoSpaceDN w:val="0"/>
        <w:bidi/>
        <w:adjustRightInd w:val="0"/>
        <w:spacing w:after="0" w:line="240" w:lineRule="auto"/>
        <w:jc w:val="center"/>
        <w:rPr>
          <w:rFonts w:ascii="TimesNewRomanPSMT" w:cs="TimesNewRomanPSMT" w:hint="cs"/>
          <w:b/>
          <w:bCs/>
          <w:sz w:val="40"/>
          <w:szCs w:val="40"/>
          <w:rtl/>
        </w:rPr>
      </w:pPr>
    </w:p>
    <w:p w:rsidR="0042084B" w:rsidRDefault="0042084B" w:rsidP="0042084B">
      <w:pPr>
        <w:autoSpaceDE w:val="0"/>
        <w:autoSpaceDN w:val="0"/>
        <w:bidi/>
        <w:adjustRightInd w:val="0"/>
        <w:spacing w:after="0" w:line="240" w:lineRule="auto"/>
        <w:jc w:val="center"/>
        <w:rPr>
          <w:rFonts w:ascii="TimesNewRomanPSMT" w:cs="TimesNewRomanPSMT" w:hint="cs"/>
          <w:b/>
          <w:bCs/>
          <w:sz w:val="40"/>
          <w:szCs w:val="40"/>
          <w:rtl/>
        </w:rPr>
      </w:pPr>
    </w:p>
    <w:p w:rsidR="0042084B" w:rsidRDefault="0042084B" w:rsidP="0042084B">
      <w:pPr>
        <w:autoSpaceDE w:val="0"/>
        <w:autoSpaceDN w:val="0"/>
        <w:bidi/>
        <w:adjustRightInd w:val="0"/>
        <w:spacing w:line="240" w:lineRule="auto"/>
        <w:jc w:val="center"/>
        <w:rPr>
          <w:rFonts w:ascii="TimesNewRomanPSMT" w:cs="TimesNewRomanPSMT" w:hint="cs"/>
          <w:b/>
          <w:bCs/>
          <w:sz w:val="40"/>
          <w:szCs w:val="40"/>
          <w:rtl/>
        </w:rPr>
      </w:pPr>
    </w:p>
    <w:p w:rsidR="0042084B" w:rsidRDefault="0042084B" w:rsidP="0042084B">
      <w:pPr>
        <w:autoSpaceDE w:val="0"/>
        <w:autoSpaceDN w:val="0"/>
        <w:bidi/>
        <w:adjustRightInd w:val="0"/>
        <w:spacing w:line="240" w:lineRule="auto"/>
        <w:jc w:val="center"/>
        <w:rPr>
          <w:rFonts w:ascii="TimesNewRomanPSMT" w:cs="TimesNewRomanPSMT" w:hint="cs"/>
          <w:b/>
          <w:bCs/>
          <w:sz w:val="40"/>
          <w:szCs w:val="40"/>
          <w:rtl/>
        </w:rPr>
      </w:pPr>
    </w:p>
    <w:p w:rsidR="00506F13" w:rsidRPr="0042084B" w:rsidRDefault="00506F13" w:rsidP="0042084B">
      <w:pPr>
        <w:autoSpaceDE w:val="0"/>
        <w:autoSpaceDN w:val="0"/>
        <w:bidi/>
        <w:adjustRightInd w:val="0"/>
        <w:spacing w:line="240" w:lineRule="auto"/>
        <w:jc w:val="center"/>
        <w:rPr>
          <w:rFonts w:ascii="TimesNewRomanPSMT" w:cs="TimesNewRomanPSMT"/>
          <w:b/>
          <w:bCs/>
          <w:sz w:val="40"/>
          <w:szCs w:val="40"/>
        </w:rPr>
      </w:pPr>
      <w:r w:rsidRPr="0042084B">
        <w:rPr>
          <w:rFonts w:ascii="TimesNewRomanPSMT" w:cs="TimesNewRomanPSMT" w:hint="cs"/>
          <w:b/>
          <w:bCs/>
          <w:sz w:val="40"/>
          <w:szCs w:val="40"/>
          <w:rtl/>
        </w:rPr>
        <w:t>الجامعة</w:t>
      </w:r>
      <w:r w:rsidRPr="0042084B">
        <w:rPr>
          <w:rFonts w:ascii="TimesNewRomanPSMT" w:cs="TimesNewRomanPSMT"/>
          <w:b/>
          <w:bCs/>
          <w:sz w:val="40"/>
          <w:szCs w:val="40"/>
        </w:rPr>
        <w:t xml:space="preserve"> </w:t>
      </w:r>
      <w:r w:rsidRPr="0042084B">
        <w:rPr>
          <w:rFonts w:ascii="TimesNewRomanPSMT" w:cs="TimesNewRomanPSMT" w:hint="cs"/>
          <w:b/>
          <w:bCs/>
          <w:sz w:val="40"/>
          <w:szCs w:val="40"/>
          <w:rtl/>
        </w:rPr>
        <w:t>المستنصرية</w:t>
      </w:r>
      <w:r w:rsidRPr="0042084B">
        <w:rPr>
          <w:rFonts w:ascii="TimesNewRomanPSMT" w:cs="TimesNewRomanPSMT"/>
          <w:b/>
          <w:bCs/>
          <w:sz w:val="40"/>
          <w:szCs w:val="40"/>
        </w:rPr>
        <w:t xml:space="preserve"> / </w:t>
      </w:r>
      <w:r w:rsidRPr="0042084B">
        <w:rPr>
          <w:rFonts w:ascii="TimesNewRomanPSMT" w:cs="TimesNewRomanPSMT" w:hint="cs"/>
          <w:b/>
          <w:bCs/>
          <w:sz w:val="40"/>
          <w:szCs w:val="40"/>
          <w:rtl/>
        </w:rPr>
        <w:t>كلية</w:t>
      </w:r>
      <w:r w:rsidRPr="0042084B">
        <w:rPr>
          <w:rFonts w:ascii="TimesNewRomanPSMT" w:cs="TimesNewRomanPSMT"/>
          <w:b/>
          <w:bCs/>
          <w:sz w:val="40"/>
          <w:szCs w:val="40"/>
        </w:rPr>
        <w:t xml:space="preserve"> </w:t>
      </w:r>
      <w:r w:rsidRPr="0042084B">
        <w:rPr>
          <w:rFonts w:ascii="TimesNewRomanPSMT" w:cs="TimesNewRomanPSMT" w:hint="cs"/>
          <w:b/>
          <w:bCs/>
          <w:sz w:val="40"/>
          <w:szCs w:val="40"/>
          <w:rtl/>
        </w:rPr>
        <w:t>طب</w:t>
      </w:r>
      <w:r w:rsidRPr="0042084B">
        <w:rPr>
          <w:rFonts w:ascii="TimesNewRomanPSMT" w:cs="TimesNewRomanPSMT"/>
          <w:b/>
          <w:bCs/>
          <w:sz w:val="40"/>
          <w:szCs w:val="40"/>
        </w:rPr>
        <w:t xml:space="preserve"> </w:t>
      </w:r>
      <w:r w:rsidRPr="0042084B">
        <w:rPr>
          <w:rFonts w:ascii="TimesNewRomanPSMT" w:cs="TimesNewRomanPSMT" w:hint="cs"/>
          <w:b/>
          <w:bCs/>
          <w:sz w:val="40"/>
          <w:szCs w:val="40"/>
          <w:rtl/>
        </w:rPr>
        <w:t>الاسنان</w:t>
      </w:r>
    </w:p>
    <w:p w:rsidR="00506F13" w:rsidRPr="0042084B" w:rsidRDefault="00506F13" w:rsidP="0042084B">
      <w:pPr>
        <w:autoSpaceDE w:val="0"/>
        <w:autoSpaceDN w:val="0"/>
        <w:bidi/>
        <w:adjustRightInd w:val="0"/>
        <w:spacing w:line="240" w:lineRule="auto"/>
        <w:jc w:val="center"/>
        <w:rPr>
          <w:rFonts w:ascii="TimesNewRomanPSMT" w:cs="TimesNewRomanPSMT"/>
          <w:b/>
          <w:bCs/>
          <w:sz w:val="40"/>
          <w:szCs w:val="40"/>
        </w:rPr>
      </w:pPr>
      <w:r w:rsidRPr="0042084B">
        <w:rPr>
          <w:rFonts w:ascii="TimesNewRomanPSMT" w:cs="TimesNewRomanPSMT" w:hint="cs"/>
          <w:b/>
          <w:bCs/>
          <w:sz w:val="40"/>
          <w:szCs w:val="40"/>
          <w:rtl/>
        </w:rPr>
        <w:t>المرحلة</w:t>
      </w:r>
      <w:r w:rsidRPr="0042084B">
        <w:rPr>
          <w:rFonts w:ascii="TimesNewRomanPSMT" w:cs="TimesNewRomanPSMT"/>
          <w:b/>
          <w:bCs/>
          <w:sz w:val="40"/>
          <w:szCs w:val="40"/>
        </w:rPr>
        <w:t xml:space="preserve"> </w:t>
      </w:r>
      <w:r w:rsidRPr="0042084B">
        <w:rPr>
          <w:rFonts w:ascii="TimesNewRomanPSMT" w:cs="TimesNewRomanPSMT" w:hint="cs"/>
          <w:b/>
          <w:bCs/>
          <w:sz w:val="40"/>
          <w:szCs w:val="40"/>
          <w:rtl/>
        </w:rPr>
        <w:t>الاولى</w:t>
      </w:r>
    </w:p>
    <w:p w:rsidR="00506F13" w:rsidRPr="0042084B" w:rsidRDefault="00506F13" w:rsidP="0042084B">
      <w:pPr>
        <w:autoSpaceDE w:val="0"/>
        <w:autoSpaceDN w:val="0"/>
        <w:bidi/>
        <w:adjustRightInd w:val="0"/>
        <w:spacing w:line="240" w:lineRule="auto"/>
        <w:jc w:val="center"/>
        <w:rPr>
          <w:rFonts w:ascii="TimesNewRomanPSMT" w:cs="TimesNewRomanPSMT"/>
          <w:b/>
          <w:bCs/>
          <w:sz w:val="40"/>
          <w:szCs w:val="40"/>
        </w:rPr>
      </w:pPr>
      <w:r w:rsidRPr="0042084B">
        <w:rPr>
          <w:rFonts w:ascii="TimesNewRomanPSMT" w:cs="TimesNewRomanPSMT" w:hint="cs"/>
          <w:b/>
          <w:bCs/>
          <w:sz w:val="40"/>
          <w:szCs w:val="40"/>
          <w:rtl/>
        </w:rPr>
        <w:t>حقوق</w:t>
      </w:r>
      <w:r w:rsidRPr="0042084B">
        <w:rPr>
          <w:rFonts w:ascii="TimesNewRomanPSMT" w:cs="TimesNewRomanPSMT"/>
          <w:b/>
          <w:bCs/>
          <w:sz w:val="40"/>
          <w:szCs w:val="40"/>
        </w:rPr>
        <w:t xml:space="preserve"> </w:t>
      </w:r>
      <w:r w:rsidRPr="0042084B">
        <w:rPr>
          <w:rFonts w:ascii="TimesNewRomanPSMT" w:cs="TimesNewRomanPSMT" w:hint="cs"/>
          <w:b/>
          <w:bCs/>
          <w:sz w:val="40"/>
          <w:szCs w:val="40"/>
          <w:rtl/>
        </w:rPr>
        <w:t>الانسان</w:t>
      </w:r>
      <w:r w:rsidRPr="0042084B">
        <w:rPr>
          <w:rFonts w:ascii="TimesNewRomanPSMT" w:cs="TimesNewRomanPSMT"/>
          <w:b/>
          <w:bCs/>
          <w:sz w:val="40"/>
          <w:szCs w:val="40"/>
        </w:rPr>
        <w:t xml:space="preserve"> </w:t>
      </w:r>
      <w:r w:rsidRPr="0042084B">
        <w:rPr>
          <w:rFonts w:ascii="TimesNewRomanPSMT" w:cs="TimesNewRomanPSMT" w:hint="cs"/>
          <w:b/>
          <w:bCs/>
          <w:sz w:val="40"/>
          <w:szCs w:val="40"/>
          <w:rtl/>
        </w:rPr>
        <w:t>والديمقراطية</w:t>
      </w:r>
    </w:p>
    <w:p w:rsidR="00506F13" w:rsidRPr="0042084B" w:rsidRDefault="00506F13" w:rsidP="0042084B">
      <w:pPr>
        <w:autoSpaceDE w:val="0"/>
        <w:autoSpaceDN w:val="0"/>
        <w:bidi/>
        <w:adjustRightInd w:val="0"/>
        <w:spacing w:line="240" w:lineRule="auto"/>
        <w:jc w:val="center"/>
        <w:rPr>
          <w:rFonts w:ascii="TimesNewRomanPSMT" w:cs="TimesNewRomanPSMT"/>
          <w:b/>
          <w:bCs/>
          <w:sz w:val="40"/>
          <w:szCs w:val="40"/>
          <w:rtl/>
        </w:rPr>
      </w:pPr>
      <w:r w:rsidRPr="0042084B">
        <w:rPr>
          <w:rFonts w:ascii="TimesNewRomanPSMT" w:cs="TimesNewRomanPSMT" w:hint="cs"/>
          <w:b/>
          <w:bCs/>
          <w:sz w:val="40"/>
          <w:szCs w:val="40"/>
          <w:rtl/>
        </w:rPr>
        <w:t>م.م رشا كاظم عطية</w:t>
      </w:r>
    </w:p>
    <w:p w:rsidR="00506F13" w:rsidRPr="0042084B" w:rsidRDefault="00506F13" w:rsidP="0042084B">
      <w:pPr>
        <w:pStyle w:val="NoSpacing"/>
        <w:tabs>
          <w:tab w:val="left" w:pos="2553"/>
        </w:tabs>
        <w:bidi/>
        <w:spacing w:after="200"/>
        <w:jc w:val="center"/>
        <w:rPr>
          <w:b/>
          <w:bCs/>
          <w:sz w:val="40"/>
          <w:szCs w:val="40"/>
        </w:rPr>
      </w:pPr>
      <w:r w:rsidRPr="0042084B">
        <w:rPr>
          <w:rFonts w:hint="cs"/>
          <w:b/>
          <w:bCs/>
          <w:sz w:val="40"/>
          <w:szCs w:val="40"/>
          <w:rtl/>
        </w:rPr>
        <w:t>المحا</w:t>
      </w:r>
      <w:r w:rsidR="00E63DB2" w:rsidRPr="0042084B">
        <w:rPr>
          <w:rFonts w:hint="cs"/>
          <w:b/>
          <w:bCs/>
          <w:sz w:val="40"/>
          <w:szCs w:val="40"/>
          <w:rtl/>
        </w:rPr>
        <w:t>ض</w:t>
      </w:r>
      <w:r w:rsidRPr="0042084B">
        <w:rPr>
          <w:rFonts w:hint="cs"/>
          <w:b/>
          <w:bCs/>
          <w:sz w:val="40"/>
          <w:szCs w:val="40"/>
          <w:rtl/>
        </w:rPr>
        <w:t>رة الخامسة</w:t>
      </w:r>
    </w:p>
    <w:p w:rsidR="00506F13" w:rsidRPr="0042084B" w:rsidRDefault="00506F13" w:rsidP="0042084B">
      <w:pPr>
        <w:autoSpaceDE w:val="0"/>
        <w:autoSpaceDN w:val="0"/>
        <w:bidi/>
        <w:adjustRightInd w:val="0"/>
        <w:spacing w:line="240" w:lineRule="auto"/>
        <w:jc w:val="center"/>
        <w:rPr>
          <w:rFonts w:ascii="TimesNewRomanPS-BoldMT" w:cs="TimesNewRomanPS-BoldMT"/>
          <w:b/>
          <w:bCs/>
          <w:sz w:val="40"/>
          <w:szCs w:val="40"/>
          <w:rtl/>
        </w:rPr>
      </w:pPr>
      <w:bookmarkStart w:id="0" w:name="_GoBack"/>
      <w:r w:rsidRPr="0042084B">
        <w:rPr>
          <w:rFonts w:ascii="TimesNewRomanPS-BoldMT" w:cs="TimesNewRomanPS-BoldMT" w:hint="cs"/>
          <w:b/>
          <w:bCs/>
          <w:sz w:val="40"/>
          <w:szCs w:val="40"/>
          <w:rtl/>
        </w:rPr>
        <w:t>اشكال</w:t>
      </w:r>
      <w:r w:rsidRPr="0042084B">
        <w:rPr>
          <w:rFonts w:ascii="TimesNewRomanPS-BoldMT" w:cs="TimesNewRomanPS-BoldMT"/>
          <w:b/>
          <w:bCs/>
          <w:sz w:val="40"/>
          <w:szCs w:val="40"/>
        </w:rPr>
        <w:t xml:space="preserve"> </w:t>
      </w:r>
      <w:r w:rsidRPr="0042084B">
        <w:rPr>
          <w:rFonts w:ascii="TimesNewRomanPS-BoldMT" w:cs="TimesNewRomanPS-BoldMT" w:hint="cs"/>
          <w:b/>
          <w:bCs/>
          <w:sz w:val="40"/>
          <w:szCs w:val="40"/>
          <w:rtl/>
        </w:rPr>
        <w:t>واجيال</w:t>
      </w:r>
      <w:r w:rsidRPr="0042084B">
        <w:rPr>
          <w:rFonts w:ascii="TimesNewRomanPS-BoldMT" w:cs="TimesNewRomanPS-BoldMT"/>
          <w:b/>
          <w:bCs/>
          <w:sz w:val="40"/>
          <w:szCs w:val="40"/>
        </w:rPr>
        <w:t xml:space="preserve"> </w:t>
      </w:r>
      <w:r w:rsidRPr="0042084B">
        <w:rPr>
          <w:rFonts w:ascii="TimesNewRomanPS-BoldMT" w:cs="TimesNewRomanPS-BoldMT" w:hint="cs"/>
          <w:b/>
          <w:bCs/>
          <w:sz w:val="40"/>
          <w:szCs w:val="40"/>
          <w:rtl/>
        </w:rPr>
        <w:t>حقوق</w:t>
      </w:r>
      <w:r w:rsidRPr="0042084B">
        <w:rPr>
          <w:rFonts w:ascii="TimesNewRomanPS-BoldMT" w:cs="TimesNewRomanPS-BoldMT"/>
          <w:b/>
          <w:bCs/>
          <w:sz w:val="40"/>
          <w:szCs w:val="40"/>
        </w:rPr>
        <w:t xml:space="preserve"> </w:t>
      </w:r>
      <w:r w:rsidRPr="0042084B">
        <w:rPr>
          <w:rFonts w:ascii="TimesNewRomanPS-BoldMT" w:cs="TimesNewRomanPS-BoldMT" w:hint="cs"/>
          <w:b/>
          <w:bCs/>
          <w:sz w:val="40"/>
          <w:szCs w:val="40"/>
          <w:rtl/>
        </w:rPr>
        <w:t>الانسان</w:t>
      </w:r>
    </w:p>
    <w:bookmarkEnd w:id="0"/>
    <w:p w:rsidR="0042084B" w:rsidRDefault="0042084B" w:rsidP="0042084B">
      <w:pPr>
        <w:autoSpaceDE w:val="0"/>
        <w:autoSpaceDN w:val="0"/>
        <w:bidi/>
        <w:adjustRightInd w:val="0"/>
        <w:spacing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42084B" w:rsidRDefault="0042084B" w:rsidP="0042084B">
      <w:pPr>
        <w:autoSpaceDE w:val="0"/>
        <w:autoSpaceDN w:val="0"/>
        <w:bidi/>
        <w:adjustRightInd w:val="0"/>
        <w:spacing w:after="0" w:line="240" w:lineRule="auto"/>
        <w:jc w:val="both"/>
        <w:rPr>
          <w:rFonts w:ascii="TimesNewRomanPS-BoldMT" w:cs="TimesNewRomanPS-BoldMT" w:hint="cs"/>
          <w:b/>
          <w:bCs/>
          <w:sz w:val="32"/>
          <w:szCs w:val="32"/>
          <w:rtl/>
        </w:rPr>
      </w:pPr>
    </w:p>
    <w:p w:rsidR="00B76FB8" w:rsidRDefault="00B76FB8" w:rsidP="0042084B">
      <w:pPr>
        <w:autoSpaceDE w:val="0"/>
        <w:autoSpaceDN w:val="0"/>
        <w:bidi/>
        <w:adjustRightInd w:val="0"/>
        <w:spacing w:after="0" w:line="240" w:lineRule="auto"/>
        <w:jc w:val="both"/>
        <w:rPr>
          <w:rFonts w:ascii="TimesNewRomanPS-BoldMT" w:cs="TimesNewRomanPS-BoldMT"/>
          <w:b/>
          <w:bCs/>
          <w:sz w:val="32"/>
          <w:szCs w:val="32"/>
          <w:rtl/>
        </w:rPr>
      </w:pPr>
      <w:r>
        <w:rPr>
          <w:rFonts w:ascii="TimesNewRomanPS-BoldMT" w:cs="TimesNewRomanPS-BoldMT" w:hint="cs"/>
          <w:b/>
          <w:bCs/>
          <w:sz w:val="32"/>
          <w:szCs w:val="32"/>
          <w:rtl/>
        </w:rPr>
        <w:t xml:space="preserve">اولا:- اشكال حقوق الانسان </w:t>
      </w:r>
    </w:p>
    <w:p w:rsidR="00B76FB8" w:rsidRPr="00B76FB8" w:rsidRDefault="00B76FB8" w:rsidP="00F73A82">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 xml:space="preserve">أ </w:t>
      </w:r>
      <w:r w:rsidR="00F73A82">
        <w:rPr>
          <w:rFonts w:ascii="TimesNewRomanPS-BoldMT" w:cs="TimesNewRomanPS-BoldMT" w:hint="cs"/>
          <w:b/>
          <w:bCs/>
          <w:sz w:val="32"/>
          <w:szCs w:val="32"/>
          <w:rtl/>
        </w:rPr>
        <w:t xml:space="preserve">- </w:t>
      </w:r>
      <w:r w:rsidRPr="00B76FB8">
        <w:rPr>
          <w:rFonts w:ascii="TimesNewRomanPS-BoldMT" w:cs="TimesNewRomanPS-BoldMT"/>
          <w:b/>
          <w:bCs/>
          <w:sz w:val="32"/>
          <w:szCs w:val="32"/>
          <w:rtl/>
        </w:rPr>
        <w:t>الحقوق الفردية</w:t>
      </w:r>
      <w:r w:rsidRPr="00B76FB8">
        <w:rPr>
          <w:rFonts w:ascii="TimesNewRomanPS-BoldMT" w:cs="TimesNewRomanPS-BoldMT"/>
          <w:b/>
          <w:bCs/>
          <w:sz w:val="32"/>
          <w:szCs w:val="32"/>
        </w:rPr>
        <w:t xml:space="preserve">: </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هي حقوق يتمتع الفرد بذاته كحقه في محاكمة عادلة وحقه في الشخصية</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القانونية وحقه في العمل والتعليم وفي الانتماء الى الجمعيات والمشاركة في</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الشؤون العامة وحقه في الجنسية وحقوقه في حرية الرأي والتعبير وحقوق</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عديدة اخرى وردت في الاعلان العالمي لحقوق الانسان</w:t>
      </w:r>
      <w:r w:rsidRPr="00B76FB8">
        <w:rPr>
          <w:rFonts w:ascii="TimesNewRomanPS-BoldMT" w:cs="TimesNewRomanPS-BoldMT"/>
          <w:b/>
          <w:bCs/>
          <w:sz w:val="32"/>
          <w:szCs w:val="32"/>
        </w:rPr>
        <w:t>.</w:t>
      </w:r>
    </w:p>
    <w:p w:rsidR="00B76FB8" w:rsidRPr="00B76FB8" w:rsidRDefault="00B76FB8" w:rsidP="00F73A82">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ب</w:t>
      </w:r>
      <w:r w:rsidR="00F73A82">
        <w:rPr>
          <w:rFonts w:ascii="TimesNewRomanPS-BoldMT" w:cs="TimesNewRomanPS-BoldMT" w:hint="cs"/>
          <w:b/>
          <w:bCs/>
          <w:sz w:val="32"/>
          <w:szCs w:val="32"/>
          <w:rtl/>
        </w:rPr>
        <w:t xml:space="preserve">- </w:t>
      </w:r>
      <w:r w:rsidRPr="00B76FB8">
        <w:rPr>
          <w:rFonts w:ascii="TimesNewRomanPS-BoldMT" w:cs="TimesNewRomanPS-BoldMT"/>
          <w:b/>
          <w:bCs/>
          <w:sz w:val="32"/>
          <w:szCs w:val="32"/>
          <w:rtl/>
        </w:rPr>
        <w:t xml:space="preserve"> الحقوق الجماعية</w:t>
      </w:r>
      <w:r w:rsidRPr="00B76FB8">
        <w:rPr>
          <w:rFonts w:ascii="TimesNewRomanPS-BoldMT" w:cs="TimesNewRomanPS-BoldMT"/>
          <w:b/>
          <w:bCs/>
          <w:sz w:val="32"/>
          <w:szCs w:val="32"/>
        </w:rPr>
        <w:t xml:space="preserve">: </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تضمنت المواثيق الدولية الاقليمية والتشريعات الوطنية حقوقا جماعية وهي</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تلك الحقوق التي تثبت لمجموع الافراد ككل فهي ليست حقا شخصيا لفرد بعينه</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وانما هي حقوق تثبت للجماعة.وهذه الحقوق هي حق تقرير المصير وحق</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الشعوب في السلم وحق الشعوب في التنمية</w:t>
      </w:r>
      <w:r w:rsidRPr="00B76FB8">
        <w:rPr>
          <w:rFonts w:ascii="TimesNewRomanPS-BoldMT" w:cs="TimesNewRomanPS-BoldMT"/>
          <w:b/>
          <w:bCs/>
          <w:sz w:val="32"/>
          <w:szCs w:val="32"/>
        </w:rPr>
        <w:t>.</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وينبغي الاشارة الى ان هناك حقوقا تمتزج فيها الجوانب الفردية والجوانب</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الجماعية اي ان للفرد حق التمتع بها كأنسان ويمكنه التمتع بها في اطار</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الجماعة ومن هذه الحقوق الثقافة في مجالات التربية والتعليم ومكافحة التمييز</w:t>
      </w:r>
    </w:p>
    <w:p w:rsidR="00B76FB8" w:rsidRPr="00B76FB8" w:rsidRDefault="00B76FB8" w:rsidP="00B76FB8">
      <w:pPr>
        <w:autoSpaceDE w:val="0"/>
        <w:autoSpaceDN w:val="0"/>
        <w:bidi/>
        <w:adjustRightInd w:val="0"/>
        <w:spacing w:after="0" w:line="240" w:lineRule="auto"/>
        <w:ind w:left="720"/>
        <w:rPr>
          <w:rFonts w:ascii="TimesNewRomanPS-BoldMT" w:cs="TimesNewRomanPS-BoldMT"/>
          <w:b/>
          <w:bCs/>
          <w:sz w:val="32"/>
          <w:szCs w:val="32"/>
          <w:rtl/>
        </w:rPr>
      </w:pPr>
      <w:r w:rsidRPr="00B76FB8">
        <w:rPr>
          <w:rFonts w:ascii="TimesNewRomanPS-BoldMT" w:cs="TimesNewRomanPS-BoldMT"/>
          <w:b/>
          <w:bCs/>
          <w:sz w:val="32"/>
          <w:szCs w:val="32"/>
          <w:rtl/>
        </w:rPr>
        <w:t>فيها والتنوع الثقافي</w:t>
      </w:r>
      <w:r w:rsidRPr="00B76FB8">
        <w:rPr>
          <w:rFonts w:ascii="TimesNewRomanPS-BoldMT" w:cs="TimesNewRomanPS-BoldMT"/>
          <w:b/>
          <w:bCs/>
          <w:sz w:val="32"/>
          <w:szCs w:val="32"/>
        </w:rPr>
        <w:t>.</w:t>
      </w:r>
    </w:p>
    <w:p w:rsidR="00506F13" w:rsidRDefault="00B76FB8" w:rsidP="00B76FB8">
      <w:pPr>
        <w:autoSpaceDE w:val="0"/>
        <w:autoSpaceDN w:val="0"/>
        <w:bidi/>
        <w:adjustRightInd w:val="0"/>
        <w:spacing w:after="0" w:line="240" w:lineRule="auto"/>
        <w:ind w:left="720"/>
        <w:rPr>
          <w:rFonts w:ascii="TimesNewRomanPS-BoldMT" w:cs="TimesNewRomanPS-BoldMT"/>
          <w:b/>
          <w:bCs/>
          <w:sz w:val="32"/>
          <w:szCs w:val="32"/>
        </w:rPr>
      </w:pPr>
      <w:r>
        <w:rPr>
          <w:rFonts w:ascii="TimesNewRomanPS-BoldMT" w:cs="TimesNewRomanPS-BoldMT" w:hint="cs"/>
          <w:b/>
          <w:bCs/>
          <w:sz w:val="32"/>
          <w:szCs w:val="32"/>
          <w:rtl/>
        </w:rPr>
        <w:t xml:space="preserve">ثانيا:- </w:t>
      </w:r>
      <w:r w:rsidR="00506F13">
        <w:rPr>
          <w:rFonts w:ascii="TimesNewRomanPS-BoldMT" w:cs="TimesNewRomanPS-BoldMT" w:hint="cs"/>
          <w:b/>
          <w:bCs/>
          <w:sz w:val="32"/>
          <w:szCs w:val="32"/>
          <w:rtl/>
        </w:rPr>
        <w:t xml:space="preserve">اجيال حقوق الانسان </w:t>
      </w:r>
    </w:p>
    <w:p w:rsidR="00506F13" w:rsidRDefault="00294A44" w:rsidP="00294A44">
      <w:pPr>
        <w:autoSpaceDE w:val="0"/>
        <w:autoSpaceDN w:val="0"/>
        <w:bidi/>
        <w:adjustRightInd w:val="0"/>
        <w:spacing w:after="0" w:line="240" w:lineRule="auto"/>
        <w:jc w:val="both"/>
        <w:rPr>
          <w:rFonts w:ascii="TimesNewRomanPS-BoldMT" w:cs="TimesNewRomanPS-BoldMT"/>
          <w:b/>
          <w:bCs/>
          <w:sz w:val="32"/>
          <w:szCs w:val="32"/>
          <w:rtl/>
        </w:rPr>
      </w:pPr>
      <w:r>
        <w:rPr>
          <w:rFonts w:ascii="TimesNewRomanPS-BoldMT" w:cs="TimesNewRomanPS-BoldMT" w:hint="cs"/>
          <w:b/>
          <w:bCs/>
          <w:sz w:val="32"/>
          <w:szCs w:val="32"/>
          <w:rtl/>
        </w:rPr>
        <w:t xml:space="preserve">شهد </w:t>
      </w:r>
      <w:r w:rsidR="00506F13">
        <w:rPr>
          <w:rFonts w:ascii="TimesNewRomanPS-BoldMT" w:cs="TimesNewRomanPS-BoldMT" w:hint="cs"/>
          <w:b/>
          <w:bCs/>
          <w:sz w:val="32"/>
          <w:szCs w:val="32"/>
          <w:rtl/>
        </w:rPr>
        <w:t xml:space="preserve"> حقوق  الانسان  </w:t>
      </w:r>
      <w:r>
        <w:rPr>
          <w:rFonts w:ascii="TimesNewRomanPS-BoldMT" w:cs="TimesNewRomanPS-BoldMT" w:hint="cs"/>
          <w:b/>
          <w:bCs/>
          <w:sz w:val="32"/>
          <w:szCs w:val="32"/>
          <w:rtl/>
        </w:rPr>
        <w:t>ثلاث</w:t>
      </w:r>
      <w:r w:rsidR="00506F13">
        <w:rPr>
          <w:rFonts w:ascii="TimesNewRomanPS-BoldMT" w:cs="TimesNewRomanPS-BoldMT" w:hint="cs"/>
          <w:b/>
          <w:bCs/>
          <w:sz w:val="32"/>
          <w:szCs w:val="32"/>
          <w:rtl/>
        </w:rPr>
        <w:t xml:space="preserve"> اجيال  رئيسية  متمثلة  بالاتي :- </w:t>
      </w:r>
    </w:p>
    <w:p w:rsidR="00506F13" w:rsidRDefault="00506F13" w:rsidP="00D434AD">
      <w:pPr>
        <w:autoSpaceDE w:val="0"/>
        <w:autoSpaceDN w:val="0"/>
        <w:bidi/>
        <w:adjustRightInd w:val="0"/>
        <w:spacing w:after="0" w:line="240" w:lineRule="auto"/>
        <w:jc w:val="both"/>
        <w:rPr>
          <w:rFonts w:ascii="TimesNewRomanPS-BoldMT" w:cs="TimesNewRomanPS-BoldMT"/>
          <w:b/>
          <w:bCs/>
          <w:sz w:val="32"/>
          <w:szCs w:val="32"/>
          <w:rtl/>
        </w:rPr>
      </w:pPr>
      <w:r>
        <w:rPr>
          <w:rFonts w:ascii="TimesNewRomanPS-BoldMT" w:cs="TimesNewRomanPS-BoldMT" w:hint="cs"/>
          <w:b/>
          <w:bCs/>
          <w:sz w:val="32"/>
          <w:szCs w:val="32"/>
          <w:rtl/>
        </w:rPr>
        <w:t xml:space="preserve"> 1-  الحقوق المدنية  والسياسية  ( وتسمى  ايضا الجيل  الاول من الحقوق </w:t>
      </w:r>
      <w:r w:rsidR="00294A44">
        <w:rPr>
          <w:rFonts w:ascii="TimesNewRomanPS-BoldMT" w:cs="TimesNewRomanPS-BoldMT" w:hint="cs"/>
          <w:b/>
          <w:bCs/>
          <w:sz w:val="32"/>
          <w:szCs w:val="32"/>
          <w:rtl/>
        </w:rPr>
        <w:t xml:space="preserve"> وهي مرتبطة بالحريات  وتشمل  الحقوق التالية  : الحق في الحياة والحرية  والامن  وعدم التعرض  للتعذيب  والتحرر  من العبودية  فضلا عن المشاركة السياسية  وحرية الراي  والتعبير والتفكير  والضمير والدين  وحرية الاشتراك  في الجمعيات  والتجمع  وهذا وارد  في المادة (30)  اولا من الدستور العراقي الدائم </w:t>
      </w:r>
      <w:r w:rsidR="001200D8">
        <w:rPr>
          <w:rFonts w:ascii="TimesNewRomanPS-BoldMT" w:cs="TimesNewRomanPS-BoldMT" w:hint="cs"/>
          <w:b/>
          <w:bCs/>
          <w:sz w:val="32"/>
          <w:szCs w:val="32"/>
          <w:rtl/>
        </w:rPr>
        <w:t xml:space="preserve"> لعام (2005) </w:t>
      </w:r>
      <w:r w:rsidR="00D434AD">
        <w:rPr>
          <w:rFonts w:ascii="TimesNewRomanPS-BoldMT" w:cs="TimesNewRomanPS-BoldMT" w:hint="cs"/>
          <w:b/>
          <w:bCs/>
          <w:sz w:val="32"/>
          <w:szCs w:val="32"/>
          <w:rtl/>
        </w:rPr>
        <w:t xml:space="preserve"> تكفل الدولة  للفرد والاسرة  وبخاصة  الطفل والمراة  الضمان الاجتماعي والصحي والمقومات الاساسية للعيش  في حياة حرة كريمة .</w:t>
      </w:r>
      <w:r>
        <w:rPr>
          <w:rFonts w:ascii="TimesNewRomanPS-BoldMT" w:cs="TimesNewRomanPS-BoldMT"/>
          <w:b/>
          <w:bCs/>
          <w:sz w:val="32"/>
          <w:szCs w:val="32"/>
        </w:rPr>
        <w:t xml:space="preserve"> </w:t>
      </w:r>
    </w:p>
    <w:p w:rsidR="00D434AD" w:rsidRDefault="00D434AD" w:rsidP="00D434AD">
      <w:pPr>
        <w:autoSpaceDE w:val="0"/>
        <w:autoSpaceDN w:val="0"/>
        <w:bidi/>
        <w:adjustRightInd w:val="0"/>
        <w:spacing w:after="0" w:line="240" w:lineRule="auto"/>
        <w:jc w:val="both"/>
        <w:rPr>
          <w:rFonts w:ascii="TimesNewRomanPS-BoldMT" w:cs="TimesNewRomanPS-BoldMT"/>
          <w:b/>
          <w:bCs/>
          <w:sz w:val="32"/>
          <w:szCs w:val="32"/>
          <w:rtl/>
        </w:rPr>
      </w:pPr>
      <w:r>
        <w:rPr>
          <w:rFonts w:ascii="TimesNewRomanPS-BoldMT" w:cs="TimesNewRomanPS-BoldMT" w:hint="cs"/>
          <w:b/>
          <w:bCs/>
          <w:sz w:val="32"/>
          <w:szCs w:val="32"/>
          <w:rtl/>
        </w:rPr>
        <w:t xml:space="preserve">2-  الحقوق الاقتصادية والاجتماعية  ( وتسمى  ايضا الجيل  الثاني من الحقوق ) </w:t>
      </w:r>
    </w:p>
    <w:p w:rsidR="00D434AD" w:rsidRDefault="00D434AD" w:rsidP="00D434AD">
      <w:pPr>
        <w:autoSpaceDE w:val="0"/>
        <w:autoSpaceDN w:val="0"/>
        <w:bidi/>
        <w:adjustRightInd w:val="0"/>
        <w:spacing w:after="0" w:line="240" w:lineRule="auto"/>
        <w:jc w:val="both"/>
        <w:rPr>
          <w:rFonts w:ascii="TimesNewRomanPS-BoldMT" w:cs="TimesNewRomanPS-BoldMT"/>
          <w:b/>
          <w:bCs/>
          <w:sz w:val="32"/>
          <w:szCs w:val="32"/>
          <w:rtl/>
        </w:rPr>
      </w:pPr>
      <w:r>
        <w:rPr>
          <w:rFonts w:ascii="TimesNewRomanPS-BoldMT" w:cs="TimesNewRomanPS-BoldMT" w:hint="cs"/>
          <w:b/>
          <w:bCs/>
          <w:sz w:val="32"/>
          <w:szCs w:val="32"/>
          <w:rtl/>
        </w:rPr>
        <w:t>وهي مرتبطة  بالامن وتشمل  العمل  والتعليم  والمستوى  اللائق للمعيشة  والمأكل  والمأوى  وال</w:t>
      </w:r>
      <w:r w:rsidR="00DF084A">
        <w:rPr>
          <w:rFonts w:ascii="TimesNewRomanPS-BoldMT" w:cs="TimesNewRomanPS-BoldMT" w:hint="cs"/>
          <w:b/>
          <w:bCs/>
          <w:sz w:val="32"/>
          <w:szCs w:val="32"/>
          <w:rtl/>
        </w:rPr>
        <w:t>رعاية الصحية  والتملك  ولقد ضمن ذلك  في اولا  من المادة (30)  من الدستور الدائم  لعام (2005)  تؤمن لهم الدخل المناسب  والسكن الملائم , اذ وضع الخطوط العريضة لتبني  هذه الحقوق .</w:t>
      </w:r>
    </w:p>
    <w:p w:rsidR="00DF084A" w:rsidRDefault="00DF084A" w:rsidP="00DF084A">
      <w:pPr>
        <w:autoSpaceDE w:val="0"/>
        <w:autoSpaceDN w:val="0"/>
        <w:bidi/>
        <w:adjustRightInd w:val="0"/>
        <w:spacing w:after="0" w:line="240" w:lineRule="auto"/>
        <w:jc w:val="both"/>
        <w:rPr>
          <w:rFonts w:ascii="TimesNewRomanPS-BoldMT" w:cs="TimesNewRomanPS-BoldMT"/>
          <w:b/>
          <w:bCs/>
          <w:sz w:val="32"/>
          <w:szCs w:val="32"/>
        </w:rPr>
      </w:pPr>
      <w:r>
        <w:rPr>
          <w:rFonts w:ascii="TimesNewRomanPS-BoldMT" w:cs="TimesNewRomanPS-BoldMT" w:hint="cs"/>
          <w:b/>
          <w:bCs/>
          <w:sz w:val="32"/>
          <w:szCs w:val="32"/>
          <w:rtl/>
        </w:rPr>
        <w:t>3-  الحقوق البيئية  والثقافية  والتنموية  ( وتسمى ايضا  الجيل الثالث  من ا</w:t>
      </w:r>
      <w:r w:rsidR="00E62D3F">
        <w:rPr>
          <w:rFonts w:ascii="TimesNewRomanPS-BoldMT" w:cs="TimesNewRomanPS-BoldMT" w:hint="cs"/>
          <w:b/>
          <w:bCs/>
          <w:sz w:val="32"/>
          <w:szCs w:val="32"/>
          <w:rtl/>
        </w:rPr>
        <w:t xml:space="preserve">لحقوق ) وتشمل  حق العيش  في بيئة نظيفة  ومصونة من  التدمير  والحق في التنمية  الثقافية  والسياسية  والاقتصادية  وبما ان لكل شخص  حقوقا انسانية  فأن على كل شخص مسؤوليات  نحو </w:t>
      </w:r>
      <w:r w:rsidR="00E62D3F">
        <w:rPr>
          <w:rFonts w:ascii="TimesNewRomanPS-BoldMT" w:cs="TimesNewRomanPS-BoldMT" w:hint="cs"/>
          <w:b/>
          <w:bCs/>
          <w:sz w:val="32"/>
          <w:szCs w:val="32"/>
          <w:rtl/>
        </w:rPr>
        <w:lastRenderedPageBreak/>
        <w:t>احترام الحقوق الانسانية  للاخرين وهذا مااكدته  الفقرة اولا من المادة (33)  من الدستور العراقي الدائم  لعام (2005)  ما يعني  لكل فرد  حق العيش  في ظروف بيئية  سليمة وتلك  تأكيدا على اهتمام  الدولة بهذا  الجانب المهم  (ثانيا )  تكفل الدولة  حماية البيئة  والتنوع الاحيائي  والحفاظ عليهما وقد ذهب الدستور في المادة  (35) ترعى الدولة  النشاطات  والمؤسسات  الثقافية  بما يتناسب  مع تاريخ  العراق  الحضاري  والثقافي .</w:t>
      </w:r>
    </w:p>
    <w:p w:rsidR="005C213F" w:rsidRDefault="005C213F" w:rsidP="00506F13">
      <w:pPr>
        <w:bidi/>
        <w:jc w:val="both"/>
      </w:pPr>
    </w:p>
    <w:sectPr w:rsidR="005C2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BC"/>
    <w:rsid w:val="001200D8"/>
    <w:rsid w:val="00294A44"/>
    <w:rsid w:val="002D10BC"/>
    <w:rsid w:val="0042084B"/>
    <w:rsid w:val="00506F13"/>
    <w:rsid w:val="005C213F"/>
    <w:rsid w:val="00B76FB8"/>
    <w:rsid w:val="00D434AD"/>
    <w:rsid w:val="00DF084A"/>
    <w:rsid w:val="00E62D3F"/>
    <w:rsid w:val="00E63DB2"/>
    <w:rsid w:val="00F73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D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2025-10-23T07:32:00Z</dcterms:created>
  <dcterms:modified xsi:type="dcterms:W3CDTF">2025-10-23T08:40:00Z</dcterms:modified>
</cp:coreProperties>
</file>