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281"/>
        <w:bidiVisual/>
        <w:tblW w:w="22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268"/>
      </w:tblGrid>
      <w:tr w:rsidR="00E0566E" w:rsidRPr="0045125D" w:rsidTr="0045125D">
        <w:trPr>
          <w:trHeight w:val="664"/>
        </w:trPr>
        <w:tc>
          <w:tcPr>
            <w:tcW w:w="2268" w:type="dxa"/>
            <w:shd w:val="clear" w:color="auto" w:fill="auto"/>
          </w:tcPr>
          <w:p w:rsidR="00E0566E" w:rsidRPr="0045125D" w:rsidRDefault="00E0566E" w:rsidP="0045125D">
            <w:pPr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tabs>
                <w:tab w:val="right" w:pos="2124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45125D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صيدلة سريرية</w:t>
            </w:r>
          </w:p>
          <w:p w:rsidR="00E0566E" w:rsidRPr="0045125D" w:rsidRDefault="00E0566E" w:rsidP="0045125D">
            <w:pPr>
              <w:pBdr>
                <w:top w:val="single" w:sz="24" w:space="1" w:color="auto"/>
                <w:left w:val="single" w:sz="24" w:space="4" w:color="auto"/>
                <w:bottom w:val="single" w:sz="24" w:space="1" w:color="auto"/>
                <w:right w:val="single" w:sz="24" w:space="4" w:color="auto"/>
              </w:pBdr>
              <w:tabs>
                <w:tab w:val="right" w:pos="2124"/>
              </w:tabs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45125D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د. ضياء جبا</w:t>
            </w:r>
            <w:r w:rsidRPr="0045125D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IQ"/>
              </w:rPr>
              <w:t>ر</w:t>
            </w:r>
          </w:p>
        </w:tc>
      </w:tr>
    </w:tbl>
    <w:p w:rsidR="00E0566E" w:rsidRPr="0045125D" w:rsidRDefault="0045125D" w:rsidP="0045125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          </w:t>
      </w:r>
      <w:r w:rsidR="00E0566E" w:rsidRPr="0045125D">
        <w:rPr>
          <w:rFonts w:asciiTheme="majorBidi" w:eastAsia="Times New Roman" w:hAnsiTheme="majorBidi" w:cstheme="majorBidi"/>
          <w:b/>
          <w:bCs/>
          <w:sz w:val="28"/>
          <w:szCs w:val="28"/>
        </w:rPr>
        <w:t>College of Pharmacy</w:t>
      </w:r>
    </w:p>
    <w:p w:rsidR="00E0566E" w:rsidRPr="0045125D" w:rsidRDefault="0045125D" w:rsidP="0045125D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4F81BD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bidi="ar-SY"/>
        </w:rPr>
        <w:t xml:space="preserve">                </w:t>
      </w:r>
      <w:r w:rsidR="00E0566E" w:rsidRPr="0045125D">
        <w:rPr>
          <w:rFonts w:asciiTheme="majorBidi" w:eastAsia="Times New Roman" w:hAnsiTheme="majorBidi" w:cstheme="majorBidi"/>
          <w:b/>
          <w:bCs/>
          <w:sz w:val="28"/>
          <w:szCs w:val="28"/>
          <w:lang w:bidi="ar-SY"/>
        </w:rPr>
        <w:t>Fourth year. Clinical Pharmacy</w:t>
      </w:r>
    </w:p>
    <w:p w:rsidR="00E0566E" w:rsidRPr="0045125D" w:rsidRDefault="0045125D" w:rsidP="0045125D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0000FF"/>
          <w:sz w:val="28"/>
          <w:szCs w:val="28"/>
        </w:rPr>
        <w:t xml:space="preserve">               </w:t>
      </w:r>
      <w:r w:rsidR="00E0566E" w:rsidRPr="0045125D">
        <w:rPr>
          <w:rFonts w:asciiTheme="majorBidi" w:eastAsia="Times New Roman" w:hAnsiTheme="majorBidi" w:cstheme="majorBidi"/>
          <w:b/>
          <w:bCs/>
          <w:color w:val="0000FF"/>
          <w:sz w:val="28"/>
          <w:szCs w:val="28"/>
        </w:rPr>
        <w:t>Cardiovascular disorders</w:t>
      </w:r>
    </w:p>
    <w:p w:rsidR="00E0566E" w:rsidRPr="0045125D" w:rsidRDefault="0045125D" w:rsidP="0045125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FF"/>
          <w:sz w:val="28"/>
          <w:szCs w:val="28"/>
          <w:rtl/>
          <w:lang w:bidi="ar-IQ"/>
        </w:rPr>
      </w:pPr>
      <w:r>
        <w:rPr>
          <w:rFonts w:asciiTheme="majorBidi" w:eastAsia="Times New Roman" w:hAnsiTheme="majorBidi" w:cstheme="majorBidi"/>
          <w:b/>
          <w:bCs/>
          <w:color w:val="0000FF"/>
          <w:sz w:val="28"/>
          <w:szCs w:val="28"/>
        </w:rPr>
        <w:t xml:space="preserve">               </w:t>
      </w:r>
      <w:r w:rsidR="00E0566E" w:rsidRPr="0045125D">
        <w:rPr>
          <w:rFonts w:asciiTheme="majorBidi" w:eastAsia="Times New Roman" w:hAnsiTheme="majorBidi" w:cstheme="majorBidi"/>
          <w:b/>
          <w:bCs/>
          <w:color w:val="0000FF"/>
          <w:sz w:val="28"/>
          <w:szCs w:val="28"/>
        </w:rPr>
        <w:t>Hypertension</w:t>
      </w:r>
      <w:r>
        <w:rPr>
          <w:rFonts w:asciiTheme="majorBidi" w:eastAsia="Times New Roman" w:hAnsiTheme="majorBidi" w:cstheme="majorBidi" w:hint="cs"/>
          <w:b/>
          <w:bCs/>
          <w:color w:val="0000FF"/>
          <w:sz w:val="28"/>
          <w:szCs w:val="28"/>
          <w:rtl/>
          <w:lang w:bidi="ar-IQ"/>
        </w:rPr>
        <w:t xml:space="preserve">   </w:t>
      </w:r>
    </w:p>
    <w:p w:rsidR="0045125D" w:rsidRPr="000746CE" w:rsidRDefault="0045125D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Introduction </w:t>
      </w:r>
    </w:p>
    <w:p w:rsidR="0045125D" w:rsidRDefault="000746C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Hypertension is defined as </w:t>
      </w:r>
      <w:r w:rsidR="0045125D" w:rsidRPr="009D31BD">
        <w:rPr>
          <w:rFonts w:asciiTheme="majorBidi" w:hAnsiTheme="majorBidi" w:cstheme="majorBidi"/>
          <w:b/>
          <w:bCs/>
          <w:color w:val="333333"/>
          <w:sz w:val="28"/>
          <w:szCs w:val="28"/>
        </w:rPr>
        <w:t>persistently elevated arterial blood pressure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(BP). </w:t>
      </w:r>
      <w:r>
        <w:rPr>
          <w:rFonts w:asciiTheme="majorBidi" w:hAnsiTheme="majorBidi" w:cstheme="majorBidi"/>
          <w:color w:val="333333"/>
          <w:sz w:val="28"/>
          <w:szCs w:val="28"/>
        </w:rPr>
        <w:t>(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See </w:t>
      </w:r>
      <w:r w:rsidR="0045125D" w:rsidRPr="0045125D">
        <w:rPr>
          <w:rFonts w:asciiTheme="majorBidi" w:hAnsiTheme="majorBidi" w:cstheme="majorBidi"/>
          <w:color w:val="005E8E"/>
          <w:sz w:val="28"/>
          <w:szCs w:val="28"/>
        </w:rPr>
        <w:t xml:space="preserve">Table -1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for the classification of BP in adults</w:t>
      </w:r>
      <w:r>
        <w:rPr>
          <w:rFonts w:asciiTheme="majorBidi" w:hAnsiTheme="majorBidi" w:cstheme="majorBidi"/>
          <w:color w:val="333333"/>
          <w:sz w:val="28"/>
          <w:szCs w:val="28"/>
        </w:rPr>
        <w:t>)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0746CE" w:rsidRDefault="000746C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0746CE" w:rsidRPr="000746CE" w:rsidRDefault="000746CE" w:rsidP="000746C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0746CE">
        <w:rPr>
          <w:rFonts w:asciiTheme="majorBidi" w:hAnsiTheme="majorBidi" w:cstheme="majorBidi"/>
          <w:b/>
          <w:bCs/>
          <w:color w:val="333333"/>
          <w:sz w:val="28"/>
          <w:szCs w:val="28"/>
        </w:rPr>
        <w:t>Table-1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: </w:t>
      </w:r>
      <w:r w:rsidRPr="000746CE">
        <w:rPr>
          <w:rFonts w:asciiTheme="majorBidi" w:hAnsiTheme="majorBidi" w:cstheme="majorBidi"/>
          <w:b/>
          <w:bCs/>
          <w:color w:val="333333"/>
          <w:sz w:val="28"/>
          <w:szCs w:val="28"/>
        </w:rPr>
        <w:t>Classification of Blood Pressure in Adults</w:t>
      </w:r>
    </w:p>
    <w:p w:rsidR="000746CE" w:rsidRDefault="000746C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09EC1DED" wp14:editId="1741062A">
            <wp:extent cx="6424654" cy="15398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24654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6CE" w:rsidRDefault="000746C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45125D" w:rsidRPr="0045125D" w:rsidRDefault="000746C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45125D" w:rsidRPr="009D31BD">
        <w:rPr>
          <w:rFonts w:asciiTheme="majorBidi" w:hAnsiTheme="majorBidi" w:cstheme="majorBidi"/>
          <w:b/>
          <w:bCs/>
          <w:color w:val="333333"/>
          <w:sz w:val="28"/>
          <w:szCs w:val="28"/>
        </w:rPr>
        <w:t>Isolated systolic hypertension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is diastolic blood pressure (DBP) &lt;80 mm Hg and systolic blood pressure (SBP) ≥130 mm Hg.</w:t>
      </w:r>
    </w:p>
    <w:p w:rsidR="000746CE" w:rsidRPr="004A73A6" w:rsidRDefault="000746C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D5E15" w:rsidRPr="000746CE" w:rsidRDefault="000746C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45125D" w:rsidRPr="009D31BD">
        <w:rPr>
          <w:rFonts w:asciiTheme="majorBidi" w:hAnsiTheme="majorBidi" w:cstheme="majorBidi"/>
          <w:b/>
          <w:bCs/>
          <w:color w:val="333333"/>
          <w:sz w:val="28"/>
          <w:szCs w:val="28"/>
        </w:rPr>
        <w:t>Hypertensive crisis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(BP &gt;180/120 mm Hg) is categorized as </w:t>
      </w:r>
      <w:r w:rsidR="0045125D" w:rsidRPr="009D31BD">
        <w:rPr>
          <w:rFonts w:asciiTheme="majorBidi" w:hAnsiTheme="majorBidi" w:cstheme="majorBidi"/>
          <w:b/>
          <w:bCs/>
          <w:color w:val="333333"/>
          <w:sz w:val="28"/>
          <w:szCs w:val="28"/>
        </w:rPr>
        <w:t>hypertensive emergency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(extreme BP elevation </w:t>
      </w:r>
      <w:r w:rsidR="0045125D" w:rsidRPr="00E05705">
        <w:rPr>
          <w:rFonts w:asciiTheme="majorBidi" w:hAnsiTheme="majorBidi" w:cstheme="majorBidi"/>
          <w:b/>
          <w:bCs/>
          <w:color w:val="333333"/>
          <w:sz w:val="28"/>
          <w:szCs w:val="28"/>
        </w:rPr>
        <w:t>with acute or progressing end-organ</w:t>
      </w:r>
      <w:r w:rsidRPr="00E0570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45125D" w:rsidRPr="00E05705">
        <w:rPr>
          <w:rFonts w:asciiTheme="majorBidi" w:hAnsiTheme="majorBidi" w:cstheme="majorBidi"/>
          <w:b/>
          <w:bCs/>
          <w:color w:val="333333"/>
          <w:sz w:val="28"/>
          <w:szCs w:val="28"/>
        </w:rPr>
        <w:t>damage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) or h</w:t>
      </w:r>
      <w:r w:rsidR="0045125D" w:rsidRPr="009D31BD">
        <w:rPr>
          <w:rFonts w:asciiTheme="majorBidi" w:hAnsiTheme="majorBidi" w:cstheme="majorBidi"/>
          <w:b/>
          <w:bCs/>
          <w:color w:val="333333"/>
          <w:sz w:val="28"/>
          <w:szCs w:val="28"/>
        </w:rPr>
        <w:t>ypertensive urgency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(extreme BP elevation </w:t>
      </w:r>
      <w:r w:rsidR="0045125D" w:rsidRPr="00E05705">
        <w:rPr>
          <w:rFonts w:asciiTheme="majorBidi" w:hAnsiTheme="majorBidi" w:cstheme="majorBidi"/>
          <w:b/>
          <w:bCs/>
          <w:color w:val="333333"/>
          <w:sz w:val="28"/>
          <w:szCs w:val="28"/>
        </w:rPr>
        <w:t>without acute or progressing end-organ injury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)</w:t>
      </w:r>
      <w:r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8D5E15" w:rsidRPr="004A73A6" w:rsidRDefault="008D5E15" w:rsidP="004A73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0746CE" w:rsidRDefault="000746CE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Pathophysiology   </w:t>
      </w:r>
    </w:p>
    <w:p w:rsidR="0045125D" w:rsidRPr="0045125D" w:rsidRDefault="000746C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Hypertension may result from an unknown etiology (</w:t>
      </w:r>
      <w:r w:rsidR="0045125D" w:rsidRPr="00E05705">
        <w:rPr>
          <w:rFonts w:asciiTheme="majorBidi" w:hAnsiTheme="majorBidi" w:cstheme="majorBidi"/>
          <w:b/>
          <w:bCs/>
          <w:color w:val="333333"/>
          <w:sz w:val="28"/>
          <w:szCs w:val="28"/>
        </w:rPr>
        <w:t>primary or essential hypertension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) or from a specific cause (</w:t>
      </w:r>
      <w:r w:rsidR="0045125D" w:rsidRPr="00E05705">
        <w:rPr>
          <w:rFonts w:asciiTheme="majorBidi" w:hAnsiTheme="majorBidi" w:cstheme="majorBidi"/>
          <w:b/>
          <w:bCs/>
          <w:color w:val="333333"/>
          <w:sz w:val="28"/>
          <w:szCs w:val="28"/>
        </w:rPr>
        <w:t>secondary hypertension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).</w:t>
      </w:r>
    </w:p>
    <w:p w:rsidR="000746CE" w:rsidRPr="004A73A6" w:rsidRDefault="000746C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0746CE" w:rsidRPr="00E05705" w:rsidRDefault="000746C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Secondary hypertension (&lt;</w:t>
      </w:r>
      <w:r w:rsidR="0045125D" w:rsidRPr="00E05705">
        <w:rPr>
          <w:rFonts w:asciiTheme="majorBidi" w:hAnsiTheme="majorBidi" w:cstheme="majorBidi"/>
          <w:b/>
          <w:bCs/>
          <w:color w:val="333333"/>
          <w:sz w:val="28"/>
          <w:szCs w:val="28"/>
        </w:rPr>
        <w:t>10% of cases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) is usually caused by </w:t>
      </w:r>
      <w:r w:rsidR="0045125D" w:rsidRPr="00E0570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chronic kidney disease (CKD) or </w:t>
      </w:r>
      <w:proofErr w:type="spellStart"/>
      <w:r w:rsidR="0045125D" w:rsidRPr="00E05705">
        <w:rPr>
          <w:rFonts w:asciiTheme="majorBidi" w:hAnsiTheme="majorBidi" w:cstheme="majorBidi"/>
          <w:b/>
          <w:bCs/>
          <w:color w:val="333333"/>
          <w:sz w:val="28"/>
          <w:szCs w:val="28"/>
        </w:rPr>
        <w:t>renovascular</w:t>
      </w:r>
      <w:proofErr w:type="spellEnd"/>
      <w:r w:rsidR="0045125D" w:rsidRPr="00E0570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disease.</w:t>
      </w:r>
    </w:p>
    <w:p w:rsidR="000746CE" w:rsidRPr="004A73A6" w:rsidRDefault="000746C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0746CE" w:rsidP="00E057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45125D" w:rsidRPr="00E05705">
        <w:rPr>
          <w:rFonts w:asciiTheme="majorBidi" w:hAnsiTheme="majorBidi" w:cstheme="majorBidi"/>
          <w:b/>
          <w:bCs/>
          <w:color w:val="333333"/>
          <w:sz w:val="28"/>
          <w:szCs w:val="28"/>
        </w:rPr>
        <w:t>Examples of drugs that may increase BP include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corticosteroids, 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>estrogens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, NSAIDs,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>cyclosporine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, erythropoietin, and 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>venlafaxine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0746CE" w:rsidRPr="004A73A6" w:rsidRDefault="000746C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0746CE" w:rsidRDefault="000746CE" w:rsidP="00E057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Factors contributing to development of primary hypertension include:</w:t>
      </w:r>
      <w:r w:rsidR="00E0570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E0570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Humoral abnormalities </w:t>
      </w:r>
      <w:r w:rsidR="00E05705">
        <w:rPr>
          <w:rFonts w:asciiTheme="majorBidi" w:hAnsiTheme="majorBidi" w:cstheme="majorBidi"/>
          <w:color w:val="333333"/>
          <w:sz w:val="28"/>
          <w:szCs w:val="28"/>
        </w:rPr>
        <w:t>[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>involving the renin–angiotensin–aldosterone system (RAAS)</w:t>
      </w:r>
      <w:r w:rsidR="00E05705">
        <w:rPr>
          <w:rFonts w:asciiTheme="majorBidi" w:hAnsiTheme="majorBidi" w:cstheme="majorBidi"/>
          <w:color w:val="333333"/>
          <w:sz w:val="28"/>
          <w:szCs w:val="28"/>
        </w:rPr>
        <w:t>]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>,</w:t>
      </w:r>
      <w:r w:rsidR="00E0570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E05705" w:rsidRPr="00E05705">
        <w:rPr>
          <w:rFonts w:asciiTheme="majorBidi" w:hAnsiTheme="majorBidi" w:cstheme="majorBidi"/>
          <w:b/>
          <w:bCs/>
          <w:color w:val="333333"/>
          <w:sz w:val="28"/>
          <w:szCs w:val="28"/>
        </w:rPr>
        <w:t>d</w:t>
      </w:r>
      <w:r w:rsidR="0045125D" w:rsidRPr="00E05705">
        <w:rPr>
          <w:rFonts w:asciiTheme="majorBidi" w:hAnsiTheme="majorBidi" w:cstheme="majorBidi"/>
          <w:b/>
          <w:bCs/>
          <w:color w:val="333333"/>
          <w:sz w:val="28"/>
          <w:szCs w:val="28"/>
        </w:rPr>
        <w:t>isturbances in the CNS</w:t>
      </w:r>
      <w:r w:rsidR="00E05705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45125D" w:rsidRPr="00E05705">
        <w:rPr>
          <w:rFonts w:asciiTheme="majorBidi" w:hAnsiTheme="majorBidi" w:cstheme="majorBidi"/>
          <w:b/>
          <w:bCs/>
          <w:color w:val="333333"/>
          <w:sz w:val="28"/>
          <w:szCs w:val="28"/>
        </w:rPr>
        <w:t>Abnormalities in renal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E05705">
        <w:rPr>
          <w:rFonts w:asciiTheme="majorBidi" w:hAnsiTheme="majorBidi" w:cstheme="majorBidi"/>
          <w:color w:val="333333"/>
          <w:sz w:val="28"/>
          <w:szCs w:val="28"/>
        </w:rPr>
        <w:t xml:space="preserve">system, </w:t>
      </w:r>
      <w:proofErr w:type="gramStart"/>
      <w:r w:rsidR="0045125D" w:rsidRPr="00E05705">
        <w:rPr>
          <w:rFonts w:asciiTheme="majorBidi" w:hAnsiTheme="majorBidi" w:cstheme="majorBidi"/>
          <w:b/>
          <w:bCs/>
          <w:color w:val="333333"/>
          <w:sz w:val="28"/>
          <w:szCs w:val="28"/>
        </w:rPr>
        <w:t>Deficiency</w:t>
      </w:r>
      <w:proofErr w:type="gramEnd"/>
      <w:r w:rsidR="0045125D" w:rsidRPr="00E0570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in synthesis of vasodilating substances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 in vascular endothelium or </w:t>
      </w:r>
      <w:r w:rsidR="0045125D" w:rsidRPr="00E05705">
        <w:rPr>
          <w:rFonts w:asciiTheme="majorBidi" w:hAnsiTheme="majorBidi" w:cstheme="majorBidi"/>
          <w:b/>
          <w:bCs/>
          <w:color w:val="333333"/>
          <w:sz w:val="28"/>
          <w:szCs w:val="28"/>
        </w:rPr>
        <w:t>excess</w:t>
      </w:r>
      <w:r w:rsidRPr="00E0570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proofErr w:type="spellStart"/>
      <w:r w:rsidR="0045125D" w:rsidRPr="00E05705">
        <w:rPr>
          <w:rFonts w:asciiTheme="majorBidi" w:hAnsiTheme="majorBidi" w:cstheme="majorBidi"/>
          <w:b/>
          <w:bCs/>
          <w:color w:val="333333"/>
          <w:sz w:val="28"/>
          <w:szCs w:val="28"/>
        </w:rPr>
        <w:t>vasoconstricting</w:t>
      </w:r>
      <w:proofErr w:type="spellEnd"/>
      <w:r w:rsidR="0045125D" w:rsidRPr="00E0570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substances</w:t>
      </w:r>
      <w:r w:rsidR="00E05705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r w:rsidR="00E05705" w:rsidRPr="00E05705">
        <w:rPr>
          <w:rFonts w:asciiTheme="majorBidi" w:hAnsiTheme="majorBidi" w:cstheme="majorBidi"/>
          <w:b/>
          <w:bCs/>
          <w:color w:val="333333"/>
          <w:sz w:val="28"/>
          <w:szCs w:val="28"/>
        </w:rPr>
        <w:t>h</w:t>
      </w:r>
      <w:r w:rsidR="0045125D" w:rsidRPr="00E05705">
        <w:rPr>
          <w:rFonts w:asciiTheme="majorBidi" w:hAnsiTheme="majorBidi" w:cstheme="majorBidi"/>
          <w:b/>
          <w:bCs/>
          <w:color w:val="333333"/>
          <w:sz w:val="28"/>
          <w:szCs w:val="28"/>
        </w:rPr>
        <w:t>igh sodium intake or lack of dietary calcium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9D31BD" w:rsidRPr="004A73A6" w:rsidRDefault="009D31BD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0746CE" w:rsidP="009D31B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Major causes of death include cerebrovascular events, cardiovascular (CV) events, and renal failure. Probability of premature death correlates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with the severity of BP elevation.</w:t>
      </w:r>
    </w:p>
    <w:p w:rsidR="000746CE" w:rsidRPr="004A73A6" w:rsidRDefault="000746C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0746CE" w:rsidRDefault="000746CE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proofErr w:type="gramStart"/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>Clinical  presentation</w:t>
      </w:r>
      <w:proofErr w:type="gramEnd"/>
    </w:p>
    <w:p w:rsidR="0045125D" w:rsidRPr="0045125D" w:rsidRDefault="000746C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Patients with </w:t>
      </w:r>
      <w:r w:rsidR="0045125D" w:rsidRPr="00E05705">
        <w:rPr>
          <w:rFonts w:asciiTheme="majorBidi" w:hAnsiTheme="majorBidi" w:cstheme="majorBidi"/>
          <w:b/>
          <w:bCs/>
          <w:color w:val="333333"/>
          <w:sz w:val="28"/>
          <w:szCs w:val="28"/>
        </w:rPr>
        <w:t>uncomplicated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E05705">
        <w:rPr>
          <w:rFonts w:asciiTheme="majorBidi" w:hAnsiTheme="majorBidi" w:cstheme="majorBidi"/>
          <w:b/>
          <w:bCs/>
          <w:color w:val="333333"/>
          <w:sz w:val="28"/>
          <w:szCs w:val="28"/>
        </w:rPr>
        <w:t>primary hypertension are usually asymptomatic initially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0746CE" w:rsidRPr="004A73A6" w:rsidRDefault="000746C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0746CE" w:rsidP="009D31B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Patients with </w:t>
      </w:r>
      <w:r w:rsidR="0045125D" w:rsidRPr="00E05705">
        <w:rPr>
          <w:rFonts w:asciiTheme="majorBidi" w:hAnsiTheme="majorBidi" w:cstheme="majorBidi"/>
          <w:b/>
          <w:bCs/>
          <w:color w:val="333333"/>
          <w:sz w:val="28"/>
          <w:szCs w:val="28"/>
        </w:rPr>
        <w:t>secondary hypertension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may have </w:t>
      </w:r>
      <w:r w:rsidR="0045125D" w:rsidRPr="00E05705">
        <w:rPr>
          <w:rFonts w:asciiTheme="majorBidi" w:hAnsiTheme="majorBidi" w:cstheme="majorBidi"/>
          <w:b/>
          <w:bCs/>
          <w:color w:val="333333"/>
          <w:sz w:val="28"/>
          <w:szCs w:val="28"/>
        </w:rPr>
        <w:t>symptoms of the underlying disorder</w:t>
      </w:r>
      <w:r w:rsidR="009D31BD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0746CE" w:rsidRDefault="000746C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45125D" w:rsidRPr="000746CE" w:rsidRDefault="000746CE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lastRenderedPageBreak/>
        <w:t>Diagnosis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</w:p>
    <w:p w:rsidR="000746CE" w:rsidRDefault="000746C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Elevated BP may be the only sign of primary hypertension on physical examination. </w:t>
      </w:r>
    </w:p>
    <w:p w:rsidR="000746CE" w:rsidRPr="004A73A6" w:rsidRDefault="000746C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0746CE" w:rsidRPr="00E05705" w:rsidRDefault="000746C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Diagnosis should be based on the average of </w:t>
      </w:r>
      <w:r w:rsidR="0045125D" w:rsidRPr="00E05705">
        <w:rPr>
          <w:rFonts w:asciiTheme="majorBidi" w:hAnsiTheme="majorBidi" w:cstheme="majorBidi"/>
          <w:b/>
          <w:bCs/>
          <w:color w:val="333333"/>
          <w:sz w:val="28"/>
          <w:szCs w:val="28"/>
        </w:rPr>
        <w:t>two or more</w:t>
      </w:r>
      <w:r w:rsidRPr="00E0570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45125D" w:rsidRPr="00E0570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readings taken at each of two or more clinical encounters. </w:t>
      </w:r>
    </w:p>
    <w:p w:rsidR="000746CE" w:rsidRPr="004A73A6" w:rsidRDefault="000746C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0746CE" w:rsidRDefault="000746CE" w:rsidP="009D31B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45125D" w:rsidRPr="00E05705">
        <w:rPr>
          <w:rFonts w:asciiTheme="majorBidi" w:hAnsiTheme="majorBidi" w:cstheme="majorBidi"/>
          <w:b/>
          <w:bCs/>
          <w:color w:val="333333"/>
          <w:sz w:val="28"/>
          <w:szCs w:val="28"/>
        </w:rPr>
        <w:t>Signs of end-organ damage occur primarily in the eyes, brain, heart, kidneys, and peripheral vasculature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9D31BD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9D31BD" w:rsidRPr="004A73A6" w:rsidRDefault="009D31BD" w:rsidP="009D31B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0746CE" w:rsidP="00E057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45125D" w:rsidRPr="00E05705">
        <w:rPr>
          <w:rFonts w:asciiTheme="majorBidi" w:hAnsiTheme="majorBidi" w:cstheme="majorBidi"/>
          <w:b/>
          <w:bCs/>
          <w:color w:val="333333"/>
          <w:sz w:val="28"/>
          <w:szCs w:val="28"/>
        </w:rPr>
        <w:t>Laboratory tests:</w:t>
      </w:r>
      <w:r w:rsidR="00E0570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Blood urea nitrogen (BUN), serum creatinine with estimated glomerular filtration rate (eGFR), fasting lipid panel, fasting blood glucose, serum electrolytes (sodium, potassium, calcium), uric acid,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hemoglobin and hematocrit, and spot uri</w:t>
      </w:r>
      <w:r w:rsidR="00E05705">
        <w:rPr>
          <w:rFonts w:asciiTheme="majorBidi" w:hAnsiTheme="majorBidi" w:cstheme="majorBidi"/>
          <w:color w:val="333333"/>
          <w:sz w:val="28"/>
          <w:szCs w:val="28"/>
        </w:rPr>
        <w:t xml:space="preserve">ne albumin-to-creatinine ratio.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A 12-lead electrocardiogram (ECG) should also be obtained.</w:t>
      </w:r>
      <w:r w:rsidR="009D31BD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0746CE" w:rsidRPr="004A73A6" w:rsidRDefault="000746C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05882" w:rsidRDefault="00405882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405882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Treatment </w:t>
      </w:r>
    </w:p>
    <w:p w:rsidR="00405882" w:rsidRDefault="00405882" w:rsidP="00E057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Goals of Treatment: The overall goal is to reduce morbidity and mortality from CV events. The 2017 ACC/AHA </w:t>
      </w:r>
      <w:r w:rsidR="0045125D" w:rsidRPr="00E05705">
        <w:rPr>
          <w:rFonts w:asciiTheme="majorBidi" w:hAnsiTheme="majorBidi" w:cstheme="majorBidi"/>
          <w:b/>
          <w:bCs/>
          <w:color w:val="333333"/>
          <w:sz w:val="28"/>
          <w:szCs w:val="28"/>
        </w:rPr>
        <w:t>guideline recommends a goal BP of</w:t>
      </w:r>
      <w:r w:rsidRPr="00E0570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45125D" w:rsidRPr="00E05705">
        <w:rPr>
          <w:rFonts w:asciiTheme="majorBidi" w:hAnsiTheme="majorBidi" w:cstheme="majorBidi"/>
          <w:b/>
          <w:bCs/>
          <w:color w:val="333333"/>
          <w:sz w:val="28"/>
          <w:szCs w:val="28"/>
        </w:rPr>
        <w:t>&lt;130/80 mm Hg for most patients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405882" w:rsidRPr="004A73A6" w:rsidRDefault="00405882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405882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For older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ambulatory, community-dwelling patients, the goal is SBP &lt;130 mm Hg. For 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institutionalized older patients and those with a high disease burden</w:t>
      </w:r>
      <w:r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or limited life expectancy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, consider a relaxed SBP goal of 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&lt;150 mm Hg (or &lt;140 mm Hg if tolerated).</w:t>
      </w:r>
    </w:p>
    <w:p w:rsidR="00405882" w:rsidRPr="004A73A6" w:rsidRDefault="00405882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05882" w:rsidRDefault="0045125D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405882">
        <w:rPr>
          <w:rFonts w:asciiTheme="majorBidi" w:hAnsiTheme="majorBidi" w:cstheme="majorBidi"/>
          <w:b/>
          <w:bCs/>
          <w:color w:val="0000FF"/>
          <w:sz w:val="32"/>
          <w:szCs w:val="32"/>
        </w:rPr>
        <w:t>Nonpharmacologic Therapy</w:t>
      </w:r>
    </w:p>
    <w:p w:rsidR="00405882" w:rsidRDefault="00405882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A-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Implement lifestyle modifications in all patients with elevated BP or stage 1 or 2 hypertension. </w:t>
      </w:r>
    </w:p>
    <w:p w:rsidR="00405882" w:rsidRPr="004A73A6" w:rsidRDefault="00405882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926008" w:rsidRDefault="00405882" w:rsidP="009260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B-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These measures alone are appropriate initial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treatment for patients with elevated BP or stage 1 hypertension who are at low risk of ASCVD (</w:t>
      </w:r>
      <w:proofErr w:type="spellStart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ie</w:t>
      </w:r>
      <w:proofErr w:type="spellEnd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, primary prevention with a 10-year ASCVD risk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&lt;10%).</w:t>
      </w:r>
      <w:r w:rsidR="0092600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Start drug therapy for these patients when BP is ≥140/90 mm Hg. </w:t>
      </w:r>
    </w:p>
    <w:p w:rsidR="00926008" w:rsidRPr="004A73A6" w:rsidRDefault="00926008" w:rsidP="009260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926008" w:rsidP="009260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C-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For patients with stage 1 or 2 hypertension who already have ASCVD</w:t>
      </w:r>
      <w:r w:rsidR="00405882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(secondary prevention) or an elevated 10-year ASCVD risk ≥10%, 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the threshold for starting drug therapy is ≥130/80 mm Hg with a goal BP of</w:t>
      </w:r>
      <w:r w:rsidR="00405882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&lt;130/80 mm Hg.</w:t>
      </w:r>
    </w:p>
    <w:p w:rsidR="00405882" w:rsidRPr="004A73A6" w:rsidRDefault="00405882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05882" w:rsidRDefault="00405882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D-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Lifestyle modific</w:t>
      </w:r>
      <w:r>
        <w:rPr>
          <w:rFonts w:asciiTheme="majorBidi" w:hAnsiTheme="majorBidi" w:cstheme="majorBidi"/>
          <w:color w:val="333333"/>
          <w:sz w:val="28"/>
          <w:szCs w:val="28"/>
        </w:rPr>
        <w:t>ations shown to lower BP include</w:t>
      </w:r>
      <w:r w:rsidR="00926008">
        <w:rPr>
          <w:rFonts w:asciiTheme="majorBidi" w:hAnsiTheme="majorBidi" w:cstheme="majorBidi"/>
          <w:color w:val="333333"/>
          <w:sz w:val="28"/>
          <w:szCs w:val="28"/>
        </w:rPr>
        <w:t>:</w:t>
      </w:r>
    </w:p>
    <w:p w:rsidR="0045125D" w:rsidRPr="0045125D" w:rsidRDefault="0045125D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(1) </w:t>
      </w:r>
      <w:r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weight loss</w:t>
      </w:r>
      <w:r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if overweight or obese, (2) the Dietary Approaches to Stop Hypertension (</w:t>
      </w:r>
      <w:r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DASH</w:t>
      </w:r>
      <w:r w:rsidRPr="0045125D">
        <w:rPr>
          <w:rFonts w:asciiTheme="majorBidi" w:hAnsiTheme="majorBidi" w:cstheme="majorBidi"/>
          <w:color w:val="333333"/>
          <w:sz w:val="28"/>
          <w:szCs w:val="28"/>
        </w:rPr>
        <w:t>)</w:t>
      </w:r>
      <w:r w:rsidR="00405882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eating plan, (3) </w:t>
      </w:r>
      <w:r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reduced salt intake</w:t>
      </w:r>
      <w:r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, ideally to 1.5 g/day sodium (3.8 g/day </w:t>
      </w:r>
      <w:r w:rsidRPr="000746CE">
        <w:rPr>
          <w:rFonts w:asciiTheme="majorBidi" w:hAnsiTheme="majorBidi" w:cstheme="majorBidi"/>
          <w:color w:val="333333"/>
          <w:sz w:val="28"/>
          <w:szCs w:val="28"/>
        </w:rPr>
        <w:t>sodium chloride</w:t>
      </w:r>
      <w:r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), (4) </w:t>
      </w:r>
      <w:r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physical activity</w:t>
      </w:r>
      <w:r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(90–150 min/week of aerobic or</w:t>
      </w:r>
      <w:r w:rsidR="00405882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dynamic resistance training), and (5) </w:t>
      </w:r>
      <w:r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moderation of alcohol intake</w:t>
      </w:r>
      <w:r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(≤2 drinks/day in men and ≤1 drink/day in women). Although </w:t>
      </w:r>
      <w:r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smoking</w:t>
      </w:r>
      <w:r w:rsidR="00405882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cessation does not control BP, it reduces CV disease risk and </w:t>
      </w:r>
      <w:r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should be encouraged</w:t>
      </w:r>
      <w:r w:rsidRPr="0045125D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405882" w:rsidRPr="004A73A6" w:rsidRDefault="00405882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05882" w:rsidRDefault="0045125D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405882">
        <w:rPr>
          <w:rFonts w:asciiTheme="majorBidi" w:hAnsiTheme="majorBidi" w:cstheme="majorBidi"/>
          <w:b/>
          <w:bCs/>
          <w:color w:val="0000FF"/>
          <w:sz w:val="32"/>
          <w:szCs w:val="32"/>
        </w:rPr>
        <w:t>Pharmacologic Therapy</w:t>
      </w:r>
    </w:p>
    <w:p w:rsidR="0045125D" w:rsidRPr="00405882" w:rsidRDefault="0045125D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405882">
        <w:rPr>
          <w:rFonts w:asciiTheme="majorBidi" w:hAnsiTheme="majorBidi" w:cstheme="majorBidi"/>
          <w:b/>
          <w:bCs/>
          <w:color w:val="FF0000"/>
          <w:sz w:val="32"/>
          <w:szCs w:val="32"/>
        </w:rPr>
        <w:t>General Approach to Treatment</w:t>
      </w:r>
    </w:p>
    <w:p w:rsidR="0045125D" w:rsidRPr="0045125D" w:rsidRDefault="00405882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Initial drug selection depends on the 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degree of BP elevation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and presence of 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compelling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indications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for certain drugs.</w:t>
      </w:r>
    </w:p>
    <w:p w:rsidR="00405882" w:rsidRPr="004A73A6" w:rsidRDefault="00405882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05882" w:rsidRPr="00926008" w:rsidRDefault="00405882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Use a 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single first-line drug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as initial therapy in most patients with newly diagnosed 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stage 1 hypertension. </w:t>
      </w:r>
    </w:p>
    <w:p w:rsidR="0045125D" w:rsidRPr="0045125D" w:rsidRDefault="00405882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lastRenderedPageBreak/>
        <w:t>3-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Start 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combination drug therapy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(preferably with two first-line drugs) as the initial regimen in patients with newly diagnosed 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stage 2 hypertension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405882" w:rsidRPr="004A73A6" w:rsidRDefault="00405882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926008" w:rsidRDefault="00405882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The 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four first-line options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are angiotensin-converting enzyme (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ACE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) inhibitors, 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angiotensin II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receptor blockers (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ARBs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), calcium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channel blockers (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CCBs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), and 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thiazide diuretics.</w:t>
      </w:r>
    </w:p>
    <w:p w:rsidR="00405882" w:rsidRPr="004A73A6" w:rsidRDefault="00405882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405882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β-Blockers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should be reserved to treat 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a specific compelling indication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or in 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combination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with a first-line antihypertensive agent for patients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without a compelling indication.</w:t>
      </w:r>
    </w:p>
    <w:p w:rsidR="00405882" w:rsidRPr="004A73A6" w:rsidRDefault="00405882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926008" w:rsidRDefault="00405882" w:rsidP="009260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6-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Other antihypertensive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drug classes (α1-blockers, direct renin inhibitors, central α2-agonists, and direct arterial vasodilators) may be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used for select patients 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after implementing first-line agents. </w:t>
      </w:r>
    </w:p>
    <w:p w:rsidR="00926008" w:rsidRPr="004A73A6" w:rsidRDefault="00926008" w:rsidP="009260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05882" w:rsidRDefault="0045125D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405882">
        <w:rPr>
          <w:rFonts w:asciiTheme="majorBidi" w:hAnsiTheme="majorBidi" w:cstheme="majorBidi"/>
          <w:b/>
          <w:bCs/>
          <w:color w:val="FF0000"/>
          <w:sz w:val="32"/>
          <w:szCs w:val="32"/>
        </w:rPr>
        <w:t>Compelling Indications</w:t>
      </w:r>
    </w:p>
    <w:p w:rsidR="0045125D" w:rsidRPr="000746CE" w:rsidRDefault="0045125D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Compelling indications are </w:t>
      </w:r>
      <w:r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specific comorbid conditions for which clinical trial data support using specific antihypertensive drug classes to treat</w:t>
      </w:r>
      <w:r w:rsidR="00405882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both hypertension and the compelling indication</w:t>
      </w:r>
      <w:r w:rsidRPr="0045125D">
        <w:rPr>
          <w:rFonts w:asciiTheme="majorBidi" w:hAnsiTheme="majorBidi" w:cstheme="majorBidi"/>
          <w:color w:val="333333"/>
          <w:sz w:val="28"/>
          <w:szCs w:val="28"/>
        </w:rPr>
        <w:t>. Selection of drug therapy should follow an evidence-based order.</w:t>
      </w:r>
    </w:p>
    <w:p w:rsidR="00405882" w:rsidRPr="004A73A6" w:rsidRDefault="00405882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05882" w:rsidRDefault="00405882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color w:val="0000FF"/>
          <w:sz w:val="28"/>
          <w:szCs w:val="28"/>
        </w:rPr>
        <w:t>A-</w:t>
      </w:r>
      <w:r w:rsidR="0045125D" w:rsidRPr="00405882">
        <w:rPr>
          <w:rFonts w:asciiTheme="majorBidi" w:hAnsiTheme="majorBidi" w:cstheme="majorBidi"/>
          <w:b/>
          <w:bCs/>
          <w:color w:val="0000FF"/>
          <w:sz w:val="28"/>
          <w:szCs w:val="28"/>
        </w:rPr>
        <w:t>Heart Failure with Reduced Ejection Fraction (</w:t>
      </w:r>
      <w:proofErr w:type="spellStart"/>
      <w:r w:rsidR="0045125D" w:rsidRPr="00405882">
        <w:rPr>
          <w:rFonts w:asciiTheme="majorBidi" w:hAnsiTheme="majorBidi" w:cstheme="majorBidi"/>
          <w:b/>
          <w:bCs/>
          <w:color w:val="0000FF"/>
          <w:sz w:val="28"/>
          <w:szCs w:val="28"/>
        </w:rPr>
        <w:t>HFrEF</w:t>
      </w:r>
      <w:proofErr w:type="spellEnd"/>
      <w:r w:rsidR="0045125D" w:rsidRPr="00405882">
        <w:rPr>
          <w:rFonts w:asciiTheme="majorBidi" w:hAnsiTheme="majorBidi" w:cstheme="majorBidi"/>
          <w:b/>
          <w:bCs/>
          <w:color w:val="0000FF"/>
          <w:sz w:val="28"/>
          <w:szCs w:val="28"/>
        </w:rPr>
        <w:t>)</w:t>
      </w:r>
    </w:p>
    <w:p w:rsidR="0045125D" w:rsidRPr="00926008" w:rsidRDefault="004722A3" w:rsidP="004722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Guideline-directed medical therapy consists of three to four drugs: 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ACE inhibitor or ARB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plus 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diuretic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, followed by addition of an evidence-based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β-blocker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and 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possibly a mineralocorticoid receptor antagonist.</w:t>
      </w:r>
    </w:p>
    <w:p w:rsidR="004722A3" w:rsidRPr="004A73A6" w:rsidRDefault="004722A3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4722A3" w:rsidP="004722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Start an ACE inhibitor or ARB in low doses to avoid orthostatic hypotension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because of the high renin state in HF.</w:t>
      </w:r>
    </w:p>
    <w:p w:rsidR="004722A3" w:rsidRPr="004A73A6" w:rsidRDefault="004722A3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4722A3" w:rsidP="004722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Diuretics reduce edema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loop diuretics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are often needed, especially in patients with advanced HF and/or CKD.</w:t>
      </w:r>
    </w:p>
    <w:p w:rsidR="004722A3" w:rsidRPr="004A73A6" w:rsidRDefault="004722A3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722A3" w:rsidRPr="00926008" w:rsidRDefault="004722A3" w:rsidP="0092600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β-Blockers are part of standard treatment</w:t>
      </w:r>
      <w:r w:rsidR="00926008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Because of the risk of exacerbating HF, β-blockers must be 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started in very low doses and titrated slowly to high doses</w:t>
      </w:r>
      <w:r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based on tolerability. </w:t>
      </w:r>
    </w:p>
    <w:p w:rsidR="004722A3" w:rsidRPr="004A73A6" w:rsidRDefault="004722A3" w:rsidP="004722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8D5E15" w:rsidRPr="000746CE" w:rsidRDefault="00926008" w:rsidP="004722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</w:t>
      </w:r>
      <w:r w:rsidR="004722A3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Bisoprolol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carvedilol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and 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metoprolol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succinate are the only β-blockers 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proven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to be beneficial in </w:t>
      </w:r>
      <w:proofErr w:type="spellStart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HFrEF</w:t>
      </w:r>
      <w:proofErr w:type="spellEnd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4722A3" w:rsidRPr="004A73A6" w:rsidRDefault="004722A3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722A3" w:rsidRDefault="00926008" w:rsidP="004722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926008">
        <w:rPr>
          <w:rFonts w:asciiTheme="majorBidi" w:hAnsiTheme="majorBidi" w:cstheme="majorBidi"/>
          <w:color w:val="333333"/>
          <w:sz w:val="28"/>
          <w:szCs w:val="28"/>
        </w:rPr>
        <w:t>6</w:t>
      </w:r>
      <w:r w:rsidR="004722A3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After implementation of a standard three-drug regimen, other agents may be added to further reduce CV morbidity and mortality, and reduce BP if</w:t>
      </w:r>
      <w:r w:rsidR="004722A3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needed. 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A mineralocorticoid receptor antagonist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spironolactone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or 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eplerenone)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may be considered at this point. </w:t>
      </w:r>
    </w:p>
    <w:p w:rsidR="004722A3" w:rsidRPr="004A73A6" w:rsidRDefault="004722A3" w:rsidP="004722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05882" w:rsidRDefault="004722A3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FF"/>
          <w:sz w:val="28"/>
          <w:szCs w:val="28"/>
        </w:rPr>
        <w:t>B-</w:t>
      </w:r>
      <w:r w:rsidR="0045125D" w:rsidRPr="00405882">
        <w:rPr>
          <w:rFonts w:asciiTheme="majorBidi" w:hAnsiTheme="majorBidi" w:cstheme="majorBidi"/>
          <w:b/>
          <w:bCs/>
          <w:color w:val="0000FF"/>
          <w:sz w:val="28"/>
          <w:szCs w:val="28"/>
        </w:rPr>
        <w:t>Heart Failure with Preserved Ejection Fraction (</w:t>
      </w:r>
      <w:proofErr w:type="spellStart"/>
      <w:r w:rsidR="0045125D" w:rsidRPr="00405882">
        <w:rPr>
          <w:rFonts w:asciiTheme="majorBidi" w:hAnsiTheme="majorBidi" w:cstheme="majorBidi"/>
          <w:b/>
          <w:bCs/>
          <w:color w:val="0000FF"/>
          <w:sz w:val="28"/>
          <w:szCs w:val="28"/>
        </w:rPr>
        <w:t>HFpEF</w:t>
      </w:r>
      <w:proofErr w:type="spellEnd"/>
      <w:r w:rsidR="0045125D" w:rsidRPr="00405882">
        <w:rPr>
          <w:rFonts w:asciiTheme="majorBidi" w:hAnsiTheme="majorBidi" w:cstheme="majorBidi"/>
          <w:b/>
          <w:bCs/>
          <w:color w:val="0000FF"/>
          <w:sz w:val="28"/>
          <w:szCs w:val="28"/>
        </w:rPr>
        <w:t>)</w:t>
      </w:r>
    </w:p>
    <w:p w:rsidR="0045125D" w:rsidRPr="00926008" w:rsidRDefault="004722A3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Unlike interventions in </w:t>
      </w:r>
      <w:proofErr w:type="spellStart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HFrEF</w:t>
      </w:r>
      <w:proofErr w:type="spellEnd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that decrease morbidity and mortality, 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trials using the same medications in </w:t>
      </w:r>
      <w:proofErr w:type="spellStart"/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HFpEF</w:t>
      </w:r>
      <w:proofErr w:type="spellEnd"/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have not shown similar benefits.</w:t>
      </w:r>
    </w:p>
    <w:p w:rsidR="004722A3" w:rsidRPr="004A73A6" w:rsidRDefault="004722A3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4722A3" w:rsidP="004722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Therefore, treatment 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should be targeted at signs and symptoms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proofErr w:type="spellStart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eg</w:t>
      </w:r>
      <w:proofErr w:type="spellEnd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, dyspnea, fatigue, </w:t>
      </w:r>
      <w:proofErr w:type="gramStart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edema</w:t>
      </w:r>
      <w:proofErr w:type="gramEnd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), appropriate management of underlying coronary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artery disease, and attainment of goal BP to prevent HF progression.</w:t>
      </w:r>
    </w:p>
    <w:p w:rsidR="004722A3" w:rsidRPr="004A73A6" w:rsidRDefault="004722A3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926008" w:rsidRDefault="004722A3" w:rsidP="004722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lastRenderedPageBreak/>
        <w:t>3-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Patients should use a 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β-blocker or an ACE inhibitor (or ARB) for treatment of hypertension,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and they should receive a 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diuretic if signs and</w:t>
      </w:r>
      <w:r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45125D" w:rsidRPr="00926008">
        <w:rPr>
          <w:rFonts w:asciiTheme="majorBidi" w:hAnsiTheme="majorBidi" w:cstheme="majorBidi"/>
          <w:b/>
          <w:bCs/>
          <w:color w:val="333333"/>
          <w:sz w:val="28"/>
          <w:szCs w:val="28"/>
        </w:rPr>
        <w:t>symptoms of edema are present.</w:t>
      </w:r>
    </w:p>
    <w:p w:rsidR="004722A3" w:rsidRPr="004A73A6" w:rsidRDefault="004722A3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05882" w:rsidRDefault="004722A3" w:rsidP="004722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FF"/>
          <w:sz w:val="28"/>
          <w:szCs w:val="28"/>
        </w:rPr>
        <w:t>C-</w:t>
      </w:r>
      <w:r w:rsidR="0045125D" w:rsidRPr="00405882">
        <w:rPr>
          <w:rFonts w:asciiTheme="majorBidi" w:hAnsiTheme="majorBidi" w:cstheme="majorBidi"/>
          <w:b/>
          <w:bCs/>
          <w:color w:val="0000FF"/>
          <w:sz w:val="28"/>
          <w:szCs w:val="28"/>
        </w:rPr>
        <w:t>Stable Ischemic Heart Disease (SIHD)</w:t>
      </w:r>
    </w:p>
    <w:p w:rsidR="004722A3" w:rsidRDefault="004722A3" w:rsidP="004722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45125D" w:rsidRPr="00690A20">
        <w:rPr>
          <w:rFonts w:asciiTheme="majorBidi" w:hAnsiTheme="majorBidi" w:cstheme="majorBidi"/>
          <w:b/>
          <w:bCs/>
          <w:color w:val="333333"/>
          <w:sz w:val="28"/>
          <w:szCs w:val="28"/>
        </w:rPr>
        <w:t>β-Blockers (without ISA) are first-line therapy in SIHD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; they reduce BP and improve angina symptoms by decreasing myocardial 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>oxygen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consumption and demand. </w:t>
      </w:r>
    </w:p>
    <w:p w:rsidR="004722A3" w:rsidRPr="004A73A6" w:rsidRDefault="004722A3" w:rsidP="004722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4722A3" w:rsidP="004722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45125D" w:rsidRPr="00690A20">
        <w:rPr>
          <w:rFonts w:asciiTheme="majorBidi" w:hAnsiTheme="majorBidi" w:cstheme="majorBidi"/>
          <w:b/>
          <w:bCs/>
          <w:color w:val="333333"/>
          <w:sz w:val="28"/>
          <w:szCs w:val="28"/>
        </w:rPr>
        <w:t>β-Blockers should be used for hypertension treatment in patients with SIHD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. An ACE inhibitor or ARB has been shown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to reduce CV events as an add-on to a β-blocker.</w:t>
      </w:r>
    </w:p>
    <w:p w:rsidR="004722A3" w:rsidRPr="004A73A6" w:rsidRDefault="004722A3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4722A3" w:rsidP="00690A2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45125D" w:rsidRPr="00690A20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A long-acting </w:t>
      </w:r>
      <w:proofErr w:type="spellStart"/>
      <w:r w:rsidR="0045125D" w:rsidRPr="00690A20">
        <w:rPr>
          <w:rFonts w:asciiTheme="majorBidi" w:hAnsiTheme="majorBidi" w:cstheme="majorBidi"/>
          <w:b/>
          <w:bCs/>
          <w:color w:val="333333"/>
          <w:sz w:val="28"/>
          <w:szCs w:val="28"/>
        </w:rPr>
        <w:t>nondihydropyridine</w:t>
      </w:r>
      <w:proofErr w:type="spellEnd"/>
      <w:r w:rsidR="0045125D" w:rsidRPr="00690A20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CCB is an </w:t>
      </w:r>
      <w:r w:rsidR="0045125D" w:rsidRPr="00690A20">
        <w:rPr>
          <w:rFonts w:asciiTheme="majorBidi" w:hAnsiTheme="majorBidi" w:cstheme="majorBidi"/>
          <w:b/>
          <w:bCs/>
          <w:color w:val="333333"/>
          <w:sz w:val="28"/>
          <w:szCs w:val="28"/>
          <w:u w:val="single"/>
        </w:rPr>
        <w:t>alternative</w:t>
      </w:r>
      <w:r w:rsidR="0045125D" w:rsidRPr="00690A20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to a β-blocker in SIHD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, but β-blockers are the therapy of choice.</w:t>
      </w:r>
      <w:r w:rsidR="00690A20">
        <w:rPr>
          <w:rFonts w:asciiTheme="majorBidi" w:hAnsiTheme="majorBidi" w:cstheme="majorBidi"/>
          <w:color w:val="333333"/>
          <w:sz w:val="28"/>
          <w:szCs w:val="28"/>
        </w:rPr>
        <w:t xml:space="preserve"> 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A </w:t>
      </w:r>
      <w:r w:rsidR="0045125D" w:rsidRPr="00690A20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dihydropyridine CCB may be considered as </w:t>
      </w:r>
      <w:r w:rsidR="0045125D" w:rsidRPr="00690A20">
        <w:rPr>
          <w:rFonts w:asciiTheme="majorBidi" w:hAnsiTheme="majorBidi" w:cstheme="majorBidi"/>
          <w:b/>
          <w:bCs/>
          <w:color w:val="333333"/>
          <w:sz w:val="28"/>
          <w:szCs w:val="28"/>
          <w:u w:val="single"/>
        </w:rPr>
        <w:t>add-on therapy</w:t>
      </w:r>
      <w:r w:rsidR="0045125D" w:rsidRPr="00690A20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in SIHD patients who have ongoing ischemic symptoms</w:t>
      </w:r>
      <w:r w:rsidR="00690A20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but cardiac stimulation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makes these agents less desirable</w:t>
      </w:r>
      <w:r w:rsidR="00690A20">
        <w:rPr>
          <w:rFonts w:asciiTheme="majorBidi" w:hAnsiTheme="majorBidi" w:cstheme="majorBidi"/>
          <w:color w:val="333333"/>
          <w:sz w:val="28"/>
          <w:szCs w:val="28"/>
        </w:rPr>
        <w:t>)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4722A3" w:rsidRPr="004A73A6" w:rsidRDefault="004722A3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690A20" w:rsidP="00690A2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</w:t>
      </w:r>
      <w:r w:rsidR="004722A3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45125D" w:rsidRPr="00690A20">
        <w:rPr>
          <w:rFonts w:asciiTheme="majorBidi" w:hAnsiTheme="majorBidi" w:cstheme="majorBidi"/>
          <w:b/>
          <w:bCs/>
          <w:color w:val="333333"/>
          <w:sz w:val="28"/>
          <w:szCs w:val="28"/>
        </w:rPr>
        <w:t>For acute coronary syndromes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, first-line therapy includes </w:t>
      </w:r>
      <w:r w:rsidR="0045125D" w:rsidRPr="00690A20">
        <w:rPr>
          <w:rFonts w:asciiTheme="majorBidi" w:hAnsiTheme="majorBidi" w:cstheme="majorBidi"/>
          <w:b/>
          <w:bCs/>
          <w:color w:val="333333"/>
          <w:sz w:val="28"/>
          <w:szCs w:val="28"/>
        </w:rPr>
        <w:t>a β-blocker and ACE inhibitor (or ARB)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4722A3" w:rsidRPr="004A73A6" w:rsidRDefault="004722A3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05882" w:rsidRDefault="004722A3" w:rsidP="004722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FF"/>
          <w:sz w:val="28"/>
          <w:szCs w:val="28"/>
        </w:rPr>
        <w:t>D-</w:t>
      </w:r>
      <w:r w:rsidR="0045125D" w:rsidRPr="00405882">
        <w:rPr>
          <w:rFonts w:asciiTheme="majorBidi" w:hAnsiTheme="majorBidi" w:cstheme="majorBidi"/>
          <w:b/>
          <w:bCs/>
          <w:color w:val="0000FF"/>
          <w:sz w:val="28"/>
          <w:szCs w:val="28"/>
        </w:rPr>
        <w:t>Diabetes Mellitus</w:t>
      </w:r>
    </w:p>
    <w:p w:rsidR="004722A3" w:rsidRDefault="004722A3" w:rsidP="004722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45125D" w:rsidRPr="00690A20">
        <w:rPr>
          <w:rFonts w:asciiTheme="majorBidi" w:hAnsiTheme="majorBidi" w:cstheme="majorBidi"/>
          <w:b/>
          <w:bCs/>
          <w:color w:val="333333"/>
          <w:sz w:val="28"/>
          <w:szCs w:val="28"/>
        </w:rPr>
        <w:t>All four first-line antihypertensive classes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(ACE inhibitors, ARBs, CCBs, thiazides) reduce CV events in patients with diabetes, with no evidence of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difference in all-cause mortality, CV mortality, HF, or stroke. </w:t>
      </w:r>
    </w:p>
    <w:p w:rsidR="004722A3" w:rsidRPr="004A73A6" w:rsidRDefault="004722A3" w:rsidP="004722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722A3" w:rsidRPr="00690A20" w:rsidRDefault="004722A3" w:rsidP="004722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The risk of kidney disease progression is low in the absence of albuminuria (urine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albumin-to-creatinine ratio ≥30 mg/g [3.4 mg/</w:t>
      </w:r>
      <w:proofErr w:type="spellStart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mmol</w:t>
      </w:r>
      <w:proofErr w:type="spellEnd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creatinine]). </w:t>
      </w:r>
      <w:r w:rsidR="0045125D" w:rsidRPr="00690A20">
        <w:rPr>
          <w:rFonts w:asciiTheme="majorBidi" w:hAnsiTheme="majorBidi" w:cstheme="majorBidi"/>
          <w:b/>
          <w:bCs/>
          <w:color w:val="333333"/>
          <w:sz w:val="28"/>
          <w:szCs w:val="28"/>
        </w:rPr>
        <w:t>Therefore, any first-line agent can be used to control hypertension in patients</w:t>
      </w:r>
      <w:r w:rsidRPr="00690A20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45125D" w:rsidRPr="00690A20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with diabetes in the absence of albuminuria. </w:t>
      </w:r>
    </w:p>
    <w:p w:rsidR="004722A3" w:rsidRPr="004A73A6" w:rsidRDefault="004722A3" w:rsidP="004722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4722A3" w:rsidP="004722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Regardless of the initial agent selected, most patients require combination therapy, which </w:t>
      </w:r>
      <w:r w:rsidR="0045125D" w:rsidRPr="00690A20">
        <w:rPr>
          <w:rFonts w:asciiTheme="majorBidi" w:hAnsiTheme="majorBidi" w:cstheme="majorBidi"/>
          <w:b/>
          <w:bCs/>
          <w:color w:val="333333"/>
          <w:sz w:val="28"/>
          <w:szCs w:val="28"/>
        </w:rPr>
        <w:t>typically</w:t>
      </w:r>
      <w:r w:rsidRPr="00690A20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45125D" w:rsidRPr="00690A20">
        <w:rPr>
          <w:rFonts w:asciiTheme="majorBidi" w:hAnsiTheme="majorBidi" w:cstheme="majorBidi"/>
          <w:b/>
          <w:bCs/>
          <w:color w:val="333333"/>
          <w:sz w:val="28"/>
          <w:szCs w:val="28"/>
        </w:rPr>
        <w:t>includes an ACE inhibitor (or ARB) with a CCB or thiazide.</w:t>
      </w:r>
    </w:p>
    <w:p w:rsidR="004722A3" w:rsidRPr="004A73A6" w:rsidRDefault="004722A3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690A20" w:rsidRDefault="004722A3" w:rsidP="00690A2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After first-line agents, a β-blocker is a useful add-on therapy for BP control in patients with diabetes. However, they </w:t>
      </w:r>
      <w:r w:rsidR="0045125D" w:rsidRPr="00690A20">
        <w:rPr>
          <w:rFonts w:asciiTheme="majorBidi" w:hAnsiTheme="majorBidi" w:cstheme="majorBidi"/>
          <w:b/>
          <w:bCs/>
          <w:color w:val="333333"/>
          <w:sz w:val="28"/>
          <w:szCs w:val="28"/>
        </w:rPr>
        <w:t>may mask symptoms of</w:t>
      </w:r>
      <w:r w:rsidRPr="00690A20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45125D" w:rsidRPr="00690A20">
        <w:rPr>
          <w:rFonts w:asciiTheme="majorBidi" w:hAnsiTheme="majorBidi" w:cstheme="majorBidi"/>
          <w:b/>
          <w:bCs/>
          <w:color w:val="333333"/>
          <w:sz w:val="28"/>
          <w:szCs w:val="28"/>
        </w:rPr>
        <w:t>hypoglycemia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(tremor, tachycardia, and palpitations </w:t>
      </w:r>
      <w:r w:rsidR="0045125D" w:rsidRPr="00690A20">
        <w:rPr>
          <w:rFonts w:asciiTheme="majorBidi" w:hAnsiTheme="majorBidi" w:cstheme="majorBidi"/>
          <w:b/>
          <w:bCs/>
          <w:color w:val="333333"/>
          <w:sz w:val="28"/>
          <w:szCs w:val="28"/>
        </w:rPr>
        <w:t>but not sweating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) in tightly controlled patients, </w:t>
      </w:r>
      <w:r w:rsidR="00690A20">
        <w:rPr>
          <w:rFonts w:asciiTheme="majorBidi" w:hAnsiTheme="majorBidi" w:cstheme="majorBidi"/>
          <w:color w:val="333333"/>
          <w:sz w:val="28"/>
          <w:szCs w:val="28"/>
        </w:rPr>
        <w:t xml:space="preserve">and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delay recovery from hypoglycemia </w:t>
      </w:r>
      <w:proofErr w:type="gramStart"/>
      <w:r w:rsidR="0045125D" w:rsidRPr="00690A20">
        <w:rPr>
          <w:rFonts w:asciiTheme="majorBidi" w:hAnsiTheme="majorBidi" w:cstheme="majorBidi"/>
          <w:b/>
          <w:bCs/>
          <w:color w:val="333333"/>
          <w:sz w:val="28"/>
          <w:szCs w:val="28"/>
        </w:rPr>
        <w:t>Despite</w:t>
      </w:r>
      <w:proofErr w:type="gramEnd"/>
      <w:r w:rsidR="0045125D" w:rsidRPr="00690A20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these potential</w:t>
      </w:r>
      <w:r w:rsidRPr="00690A20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45125D" w:rsidRPr="00690A20">
        <w:rPr>
          <w:rFonts w:asciiTheme="majorBidi" w:hAnsiTheme="majorBidi" w:cstheme="majorBidi"/>
          <w:b/>
          <w:bCs/>
          <w:color w:val="333333"/>
          <w:sz w:val="28"/>
          <w:szCs w:val="28"/>
        </w:rPr>
        <w:t>problems, β-blockers can be used safely in patients with diabetes.</w:t>
      </w:r>
    </w:p>
    <w:p w:rsidR="004722A3" w:rsidRPr="004A73A6" w:rsidRDefault="004722A3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05882" w:rsidRDefault="004722A3" w:rsidP="004722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FF"/>
          <w:sz w:val="28"/>
          <w:szCs w:val="28"/>
        </w:rPr>
        <w:t>E-</w:t>
      </w:r>
      <w:r w:rsidR="0045125D" w:rsidRPr="00405882">
        <w:rPr>
          <w:rFonts w:asciiTheme="majorBidi" w:hAnsiTheme="majorBidi" w:cstheme="majorBidi"/>
          <w:b/>
          <w:bCs/>
          <w:color w:val="0000FF"/>
          <w:sz w:val="28"/>
          <w:szCs w:val="28"/>
        </w:rPr>
        <w:t>Chronic Kidney Disease</w:t>
      </w:r>
    </w:p>
    <w:p w:rsidR="0045125D" w:rsidRPr="0045125D" w:rsidRDefault="004722A3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In addition to lowering BP, </w:t>
      </w:r>
      <w:r w:rsidR="0045125D" w:rsidRPr="00690A20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ACE inhibitors and ARBs reduce </w:t>
      </w:r>
      <w:proofErr w:type="spellStart"/>
      <w:r w:rsidR="0045125D" w:rsidRPr="00690A20">
        <w:rPr>
          <w:rFonts w:asciiTheme="majorBidi" w:hAnsiTheme="majorBidi" w:cstheme="majorBidi"/>
          <w:b/>
          <w:bCs/>
          <w:color w:val="333333"/>
          <w:sz w:val="28"/>
          <w:szCs w:val="28"/>
        </w:rPr>
        <w:t>intraglomerular</w:t>
      </w:r>
      <w:proofErr w:type="spellEnd"/>
      <w:r w:rsidR="0045125D" w:rsidRPr="00690A20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pressure, which may further slow CKD progression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4722A3" w:rsidRPr="004A73A6" w:rsidRDefault="004722A3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4722A3" w:rsidP="004722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45125D" w:rsidRPr="00690A20">
        <w:rPr>
          <w:rFonts w:asciiTheme="majorBidi" w:hAnsiTheme="majorBidi" w:cstheme="majorBidi"/>
          <w:b/>
          <w:bCs/>
          <w:color w:val="333333"/>
          <w:sz w:val="28"/>
          <w:szCs w:val="28"/>
        </w:rPr>
        <w:t>Start with low doses and evaluate the serum creatinine soon after starting therapy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to minimize the risk of rapid and profound BP drops that could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precipitate acute kidney injury (AKI).</w:t>
      </w:r>
    </w:p>
    <w:p w:rsidR="004722A3" w:rsidRPr="004A73A6" w:rsidRDefault="004722A3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05882" w:rsidRDefault="004722A3" w:rsidP="004722A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FF"/>
          <w:sz w:val="28"/>
          <w:szCs w:val="28"/>
        </w:rPr>
        <w:t>F-</w:t>
      </w:r>
      <w:r w:rsidR="0045125D" w:rsidRPr="00405882">
        <w:rPr>
          <w:rFonts w:asciiTheme="majorBidi" w:hAnsiTheme="majorBidi" w:cstheme="majorBidi"/>
          <w:b/>
          <w:bCs/>
          <w:color w:val="0000FF"/>
          <w:sz w:val="28"/>
          <w:szCs w:val="28"/>
        </w:rPr>
        <w:t>Secondary Stroke Prevention</w:t>
      </w:r>
    </w:p>
    <w:p w:rsidR="004722A3" w:rsidRDefault="004722A3" w:rsidP="00690A2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A </w:t>
      </w:r>
      <w:r w:rsidR="0045125D" w:rsidRPr="00690A20">
        <w:rPr>
          <w:rFonts w:asciiTheme="majorBidi" w:hAnsiTheme="majorBidi" w:cstheme="majorBidi"/>
          <w:b/>
          <w:bCs/>
          <w:color w:val="333333"/>
          <w:sz w:val="28"/>
          <w:szCs w:val="28"/>
        </w:rPr>
        <w:t>thiazide diuretic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, either </w:t>
      </w:r>
      <w:r w:rsidR="0045125D" w:rsidRPr="00690A20">
        <w:rPr>
          <w:rFonts w:asciiTheme="majorBidi" w:hAnsiTheme="majorBidi" w:cstheme="majorBidi"/>
          <w:b/>
          <w:bCs/>
          <w:color w:val="333333"/>
          <w:sz w:val="28"/>
          <w:szCs w:val="28"/>
        </w:rPr>
        <w:t>alone or combined with an ACE inhibitor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, is recommended for patients with history of stroke or transient ischemic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attack. </w:t>
      </w:r>
    </w:p>
    <w:p w:rsidR="00690A20" w:rsidRPr="004A73A6" w:rsidRDefault="00690A20" w:rsidP="00690A2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0746CE" w:rsidRDefault="004722A3" w:rsidP="00690A2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The threshold for starting antihypertensive drug therapy in patients </w:t>
      </w:r>
      <w:r w:rsidR="0045125D" w:rsidRPr="00690A20">
        <w:rPr>
          <w:rFonts w:asciiTheme="majorBidi" w:hAnsiTheme="majorBidi" w:cstheme="majorBidi"/>
          <w:b/>
          <w:bCs/>
          <w:color w:val="333333"/>
          <w:sz w:val="28"/>
          <w:szCs w:val="28"/>
        </w:rPr>
        <w:t>with a history of stroke is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690A20">
        <w:rPr>
          <w:rFonts w:asciiTheme="majorBidi" w:hAnsiTheme="majorBidi" w:cstheme="majorBidi"/>
          <w:b/>
          <w:bCs/>
          <w:color w:val="333333"/>
          <w:sz w:val="28"/>
          <w:szCs w:val="28"/>
        </w:rPr>
        <w:t>when BP is &gt;140/90 mm Hg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90A20">
        <w:rPr>
          <w:rFonts w:asciiTheme="majorBidi" w:hAnsiTheme="majorBidi" w:cstheme="majorBidi"/>
          <w:color w:val="333333"/>
          <w:sz w:val="28"/>
          <w:szCs w:val="28"/>
        </w:rPr>
        <w:t>(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goal of &lt;130/80 mm Hg</w:t>
      </w:r>
      <w:r w:rsidR="00690A20">
        <w:rPr>
          <w:rFonts w:asciiTheme="majorBidi" w:hAnsiTheme="majorBidi" w:cstheme="majorBidi"/>
          <w:color w:val="333333"/>
          <w:sz w:val="28"/>
          <w:szCs w:val="28"/>
        </w:rPr>
        <w:t>)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45125D" w:rsidRPr="004A73A6" w:rsidRDefault="0045125D" w:rsidP="004A73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022299">
        <w:rPr>
          <w:rFonts w:asciiTheme="majorBidi" w:hAnsiTheme="majorBidi" w:cstheme="majorBidi"/>
          <w:b/>
          <w:bCs/>
          <w:color w:val="FF0000"/>
          <w:sz w:val="32"/>
          <w:szCs w:val="32"/>
        </w:rPr>
        <w:lastRenderedPageBreak/>
        <w:t>Angiotensin-Converting Enzyme Inhibitors</w:t>
      </w:r>
      <w:r w:rsidR="004A73A6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r w:rsidR="004A73A6" w:rsidRPr="004A73A6">
        <w:rPr>
          <w:rFonts w:asciiTheme="majorBidi" w:hAnsiTheme="majorBidi" w:cstheme="majorBidi"/>
          <w:color w:val="333333"/>
          <w:sz w:val="28"/>
          <w:szCs w:val="28"/>
        </w:rPr>
        <w:t xml:space="preserve">(captopril, </w:t>
      </w:r>
      <w:proofErr w:type="spellStart"/>
      <w:r w:rsidR="004A73A6" w:rsidRPr="004A73A6">
        <w:rPr>
          <w:rFonts w:asciiTheme="majorBidi" w:hAnsiTheme="majorBidi" w:cstheme="majorBidi"/>
          <w:color w:val="333333"/>
          <w:sz w:val="28"/>
          <w:szCs w:val="28"/>
        </w:rPr>
        <w:t>enalapril</w:t>
      </w:r>
      <w:proofErr w:type="spellEnd"/>
      <w:r w:rsidR="004A73A6" w:rsidRPr="004A73A6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="004A73A6" w:rsidRPr="004A73A6">
        <w:rPr>
          <w:rFonts w:asciiTheme="majorBidi" w:hAnsiTheme="majorBidi" w:cstheme="majorBidi"/>
          <w:color w:val="333333"/>
          <w:sz w:val="28"/>
          <w:szCs w:val="28"/>
        </w:rPr>
        <w:t>fosinopril</w:t>
      </w:r>
      <w:proofErr w:type="spellEnd"/>
      <w:r w:rsidR="004A73A6" w:rsidRPr="004A73A6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="004A73A6" w:rsidRPr="004A73A6">
        <w:rPr>
          <w:rFonts w:asciiTheme="majorBidi" w:hAnsiTheme="majorBidi" w:cstheme="majorBidi"/>
          <w:color w:val="333333"/>
          <w:sz w:val="28"/>
          <w:szCs w:val="28"/>
        </w:rPr>
        <w:t>imidapril</w:t>
      </w:r>
      <w:proofErr w:type="spellEnd"/>
      <w:r w:rsidR="004A73A6" w:rsidRPr="004A73A6">
        <w:rPr>
          <w:rFonts w:asciiTheme="majorBidi" w:hAnsiTheme="majorBidi" w:cstheme="majorBidi"/>
          <w:color w:val="333333"/>
          <w:sz w:val="28"/>
          <w:szCs w:val="28"/>
        </w:rPr>
        <w:t>,</w:t>
      </w:r>
      <w:r w:rsidR="004A73A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="004A73A6" w:rsidRPr="004A73A6">
        <w:rPr>
          <w:rFonts w:asciiTheme="majorBidi" w:hAnsiTheme="majorBidi" w:cstheme="majorBidi"/>
          <w:color w:val="333333"/>
          <w:sz w:val="28"/>
          <w:szCs w:val="28"/>
        </w:rPr>
        <w:t>lisinopril</w:t>
      </w:r>
      <w:proofErr w:type="spellEnd"/>
      <w:r w:rsidR="004A73A6" w:rsidRPr="004A73A6">
        <w:rPr>
          <w:rFonts w:asciiTheme="majorBidi" w:hAnsiTheme="majorBidi" w:cstheme="majorBidi"/>
          <w:color w:val="333333"/>
          <w:sz w:val="28"/>
          <w:szCs w:val="28"/>
        </w:rPr>
        <w:t xml:space="preserve">, perindopril, quinapril, </w:t>
      </w:r>
      <w:proofErr w:type="spellStart"/>
      <w:r w:rsidR="004A73A6" w:rsidRPr="004A73A6">
        <w:rPr>
          <w:rFonts w:asciiTheme="majorBidi" w:hAnsiTheme="majorBidi" w:cstheme="majorBidi"/>
          <w:color w:val="333333"/>
          <w:sz w:val="28"/>
          <w:szCs w:val="28"/>
        </w:rPr>
        <w:t>ramipril</w:t>
      </w:r>
      <w:proofErr w:type="spellEnd"/>
      <w:r w:rsidR="004A73A6" w:rsidRPr="004A73A6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proofErr w:type="spellStart"/>
      <w:r w:rsidR="004A73A6" w:rsidRPr="004A73A6">
        <w:rPr>
          <w:rFonts w:asciiTheme="majorBidi" w:hAnsiTheme="majorBidi" w:cstheme="majorBidi"/>
          <w:color w:val="333333"/>
          <w:sz w:val="28"/>
          <w:szCs w:val="28"/>
        </w:rPr>
        <w:t>trandolapril</w:t>
      </w:r>
      <w:proofErr w:type="spellEnd"/>
      <w:r w:rsidR="004A73A6" w:rsidRPr="004A73A6">
        <w:rPr>
          <w:rFonts w:asciiTheme="majorBidi" w:hAnsiTheme="majorBidi" w:cstheme="majorBidi"/>
          <w:color w:val="333333"/>
          <w:sz w:val="28"/>
          <w:szCs w:val="28"/>
        </w:rPr>
        <w:t>)</w:t>
      </w:r>
    </w:p>
    <w:p w:rsidR="004A73A6" w:rsidRPr="004A73A6" w:rsidRDefault="004A73A6" w:rsidP="0002229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Default="00022299" w:rsidP="004A73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ACE inhibitors block conversion of angiotensin I to 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>angiotensin II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, a potent vasoconstrictor and stimulator of aldosterone secretion. </w:t>
      </w:r>
    </w:p>
    <w:p w:rsidR="00022299" w:rsidRPr="004A73A6" w:rsidRDefault="00022299" w:rsidP="0002229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022299" w:rsidP="00690A2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45125D" w:rsidRPr="00690A20">
        <w:rPr>
          <w:rFonts w:asciiTheme="majorBidi" w:hAnsiTheme="majorBidi" w:cstheme="majorBidi"/>
          <w:b/>
          <w:bCs/>
          <w:color w:val="333333"/>
          <w:sz w:val="28"/>
          <w:szCs w:val="28"/>
        </w:rPr>
        <w:t>Starting doses should be low with slow dose titration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. Acute hypotension may occur at the onset of therapy. </w:t>
      </w:r>
    </w:p>
    <w:p w:rsidR="00022299" w:rsidRPr="004A73A6" w:rsidRDefault="00022299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022299" w:rsidP="0002229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ACE inhibitors decrease aldosterone and can increase serum potassium concentrations. </w:t>
      </w:r>
      <w:r w:rsidR="0045125D" w:rsidRPr="00690A20">
        <w:rPr>
          <w:rFonts w:asciiTheme="majorBidi" w:hAnsiTheme="majorBidi" w:cstheme="majorBidi"/>
          <w:b/>
          <w:bCs/>
          <w:color w:val="333333"/>
          <w:sz w:val="28"/>
          <w:szCs w:val="28"/>
        </w:rPr>
        <w:t>Hyperkalemia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occurs primarily in patients with CKD or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those also taking potassium supplements, potassium-sparing diuretics, mineralocorticoid receptor antagonists, ARBs, or direct renin inhibitors.</w:t>
      </w:r>
    </w:p>
    <w:p w:rsidR="00022299" w:rsidRPr="004A73A6" w:rsidRDefault="00022299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022299" w:rsidP="00690A2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45125D" w:rsidRPr="00690A20">
        <w:rPr>
          <w:rFonts w:asciiTheme="majorBidi" w:hAnsiTheme="majorBidi" w:cstheme="majorBidi"/>
          <w:b/>
          <w:bCs/>
          <w:color w:val="333333"/>
          <w:sz w:val="28"/>
          <w:szCs w:val="28"/>
        </w:rPr>
        <w:t>AKI is an uncommon but serious side effect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; preexisting kidney disease increases risk. Bilateral renal artery stenosis or unilateral stenosis renders patients dependent on the vasoconstrictive effect of 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angiotensin II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on efferent arterioles, making them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particularly susceptible to AKI.</w:t>
      </w:r>
    </w:p>
    <w:p w:rsidR="00022299" w:rsidRPr="004A73A6" w:rsidRDefault="00022299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022299" w:rsidP="00690A2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Serum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creatinine concentrations often increase, but modest elevations (</w:t>
      </w:r>
      <w:proofErr w:type="spellStart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eg</w:t>
      </w:r>
      <w:proofErr w:type="spellEnd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, absolute increases &lt;1 mg/</w:t>
      </w:r>
      <w:proofErr w:type="spellStart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dL</w:t>
      </w:r>
      <w:proofErr w:type="spellEnd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) </w:t>
      </w:r>
      <w:r w:rsidR="0045125D" w:rsidRPr="00690A20">
        <w:rPr>
          <w:rFonts w:asciiTheme="majorBidi" w:hAnsiTheme="majorBidi" w:cstheme="majorBidi"/>
          <w:b/>
          <w:bCs/>
          <w:color w:val="333333"/>
          <w:sz w:val="28"/>
          <w:szCs w:val="28"/>
        </w:rPr>
        <w:t>do not warrant treatment changes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690A20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Discontinue therapy or reduce dose if larger increases occur.</w:t>
      </w:r>
    </w:p>
    <w:p w:rsidR="00690A20" w:rsidRPr="004A73A6" w:rsidRDefault="00690A20" w:rsidP="0002229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022299" w:rsidRDefault="00690A20" w:rsidP="00690A20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</w:t>
      </w:r>
      <w:r w:rsidR="00FC7499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Angioedema occurs in &lt;1% of patients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. Drug withdrawal is necessary, and some patients may require drug treatment and/or emergent intubation</w:t>
      </w:r>
      <w:r w:rsidR="0002229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to support respiration. </w:t>
      </w:r>
    </w:p>
    <w:p w:rsidR="00022299" w:rsidRPr="004A73A6" w:rsidRDefault="00022299" w:rsidP="0002229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FC7499" w:rsidP="0002229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An 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ARB can generally be used in patients with a history of ACE inhibitor-induced angioedema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, with careful monitoring.</w:t>
      </w:r>
    </w:p>
    <w:p w:rsidR="00022299" w:rsidRPr="004A73A6" w:rsidRDefault="00022299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FC7499" w:rsidP="0002229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8</w:t>
      </w:r>
      <w:r w:rsidR="00022299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A 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persistent dry cough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occurs in up to 20% of patients and is thought to be due to inhibition of </w:t>
      </w:r>
      <w:proofErr w:type="spellStart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bradykinin</w:t>
      </w:r>
      <w:proofErr w:type="spellEnd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breakdown.</w:t>
      </w:r>
    </w:p>
    <w:p w:rsidR="00022299" w:rsidRPr="004A73A6" w:rsidRDefault="00022299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FC7499" w:rsidRDefault="00022299" w:rsidP="0002229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10-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ACE inhibitors (as well as ARBs and direct renin inhibitors) are contraindicated in pregnancy.</w:t>
      </w:r>
    </w:p>
    <w:p w:rsidR="00022299" w:rsidRPr="004A73A6" w:rsidRDefault="00022299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A73A6" w:rsidRDefault="0045125D" w:rsidP="004A73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022299">
        <w:rPr>
          <w:rFonts w:asciiTheme="majorBidi" w:hAnsiTheme="majorBidi" w:cstheme="majorBidi"/>
          <w:b/>
          <w:bCs/>
          <w:color w:val="FF0000"/>
          <w:sz w:val="32"/>
          <w:szCs w:val="32"/>
        </w:rPr>
        <w:t>Angiotensin II Receptor Blockers</w:t>
      </w:r>
      <w:r w:rsidR="004A73A6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r w:rsidR="004A73A6" w:rsidRPr="004A73A6">
        <w:rPr>
          <w:rFonts w:asciiTheme="majorBidi" w:hAnsiTheme="majorBidi" w:cstheme="majorBidi"/>
          <w:color w:val="333333"/>
          <w:sz w:val="28"/>
          <w:szCs w:val="28"/>
        </w:rPr>
        <w:t xml:space="preserve">(candesartan, </w:t>
      </w:r>
      <w:proofErr w:type="spellStart"/>
      <w:r w:rsidR="004A73A6" w:rsidRPr="004A73A6">
        <w:rPr>
          <w:rFonts w:asciiTheme="majorBidi" w:hAnsiTheme="majorBidi" w:cstheme="majorBidi"/>
          <w:color w:val="333333"/>
          <w:sz w:val="28"/>
          <w:szCs w:val="28"/>
        </w:rPr>
        <w:t>eprosartan</w:t>
      </w:r>
      <w:proofErr w:type="spellEnd"/>
      <w:r w:rsidR="004A73A6" w:rsidRPr="004A73A6">
        <w:rPr>
          <w:rFonts w:asciiTheme="majorBidi" w:hAnsiTheme="majorBidi" w:cstheme="majorBidi"/>
          <w:color w:val="333333"/>
          <w:sz w:val="28"/>
          <w:szCs w:val="28"/>
        </w:rPr>
        <w:t>,</w:t>
      </w:r>
      <w:r w:rsidR="004A73A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="004A73A6" w:rsidRPr="004A73A6">
        <w:rPr>
          <w:rFonts w:asciiTheme="majorBidi" w:hAnsiTheme="majorBidi" w:cstheme="majorBidi"/>
          <w:color w:val="333333"/>
          <w:sz w:val="28"/>
          <w:szCs w:val="28"/>
        </w:rPr>
        <w:t>irbesartan</w:t>
      </w:r>
      <w:proofErr w:type="spellEnd"/>
      <w:r w:rsidR="004A73A6" w:rsidRPr="004A73A6">
        <w:rPr>
          <w:rFonts w:asciiTheme="majorBidi" w:hAnsiTheme="majorBidi" w:cstheme="majorBidi"/>
          <w:color w:val="333333"/>
          <w:sz w:val="28"/>
          <w:szCs w:val="28"/>
        </w:rPr>
        <w:t xml:space="preserve">, losartan, </w:t>
      </w:r>
      <w:proofErr w:type="spellStart"/>
      <w:r w:rsidR="004A73A6" w:rsidRPr="004A73A6">
        <w:rPr>
          <w:rFonts w:asciiTheme="majorBidi" w:hAnsiTheme="majorBidi" w:cstheme="majorBidi"/>
          <w:color w:val="333333"/>
          <w:sz w:val="28"/>
          <w:szCs w:val="28"/>
        </w:rPr>
        <w:t>olmesartan</w:t>
      </w:r>
      <w:proofErr w:type="spellEnd"/>
      <w:r w:rsidR="004A73A6" w:rsidRPr="004A73A6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="004A73A6" w:rsidRPr="004A73A6">
        <w:rPr>
          <w:rFonts w:asciiTheme="majorBidi" w:hAnsiTheme="majorBidi" w:cstheme="majorBidi"/>
          <w:color w:val="333333"/>
          <w:sz w:val="28"/>
          <w:szCs w:val="28"/>
        </w:rPr>
        <w:t>telmisartan</w:t>
      </w:r>
      <w:proofErr w:type="spellEnd"/>
      <w:r w:rsidR="004A73A6" w:rsidRPr="004A73A6">
        <w:rPr>
          <w:rFonts w:asciiTheme="majorBidi" w:hAnsiTheme="majorBidi" w:cstheme="majorBidi"/>
          <w:color w:val="333333"/>
          <w:sz w:val="28"/>
          <w:szCs w:val="28"/>
        </w:rPr>
        <w:t>, and valsartan)</w:t>
      </w:r>
    </w:p>
    <w:p w:rsidR="004A73A6" w:rsidRPr="004A73A6" w:rsidRDefault="004A73A6" w:rsidP="005D3E7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5D3E7B" w:rsidP="004A73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The ARBs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directly block the 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angiotensin II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type 1 receptor that mediates the effects of 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>angiotensin II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5D3E7B" w:rsidRPr="004A73A6" w:rsidRDefault="005D3E7B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5D3E7B" w:rsidP="00FC749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Unlike ACE inhibitors, 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ARBs do not block </w:t>
      </w:r>
      <w:proofErr w:type="spellStart"/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bradykinin</w:t>
      </w:r>
      <w:proofErr w:type="spellEnd"/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breakdown</w:t>
      </w:r>
      <w:r w:rsidR="00FC7499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and 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this accounts for the lack of cough as a side effect</w:t>
      </w:r>
      <w:r w:rsidR="00FC7499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5D3E7B" w:rsidRPr="004A73A6" w:rsidRDefault="005D3E7B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5D3E7B" w:rsidP="00FC749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The combination of an ACE inhibitor and ARB has no additional </w:t>
      </w:r>
      <w:r w:rsidR="00FC7499">
        <w:rPr>
          <w:rFonts w:asciiTheme="majorBidi" w:hAnsiTheme="majorBidi" w:cstheme="majorBidi"/>
          <w:color w:val="333333"/>
          <w:sz w:val="28"/>
          <w:szCs w:val="28"/>
        </w:rPr>
        <w:t>benefit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but is associated with a higher risk of side effects and should be avoided.</w:t>
      </w:r>
    </w:p>
    <w:p w:rsidR="005D3E7B" w:rsidRPr="004A73A6" w:rsidRDefault="005D3E7B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5D3E7B" w:rsidP="00FC749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All ARBs have similar antihypertensive efficacy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r w:rsidR="00FC749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Addition of a CCB or thiazide diuretic significantly increases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antihypertensive efficacy.</w:t>
      </w:r>
    </w:p>
    <w:p w:rsidR="005D3E7B" w:rsidRPr="004A73A6" w:rsidRDefault="005D3E7B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5D3E7B" w:rsidP="005D3E7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ARBs have a low incidence of side effects. Like ACE inhibitors, they may cause renal 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insufficiency, hyperkalemia, and orthostatic hypotension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5D3E7B" w:rsidRPr="004A73A6" w:rsidRDefault="005D3E7B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022299" w:rsidRDefault="0045125D" w:rsidP="005D3E7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22299">
        <w:rPr>
          <w:rFonts w:asciiTheme="majorBidi" w:hAnsiTheme="majorBidi" w:cstheme="majorBidi"/>
          <w:b/>
          <w:bCs/>
          <w:color w:val="FF0000"/>
          <w:sz w:val="32"/>
          <w:szCs w:val="32"/>
        </w:rPr>
        <w:lastRenderedPageBreak/>
        <w:t>Calcium Channel Blockers</w:t>
      </w:r>
    </w:p>
    <w:p w:rsidR="0045125D" w:rsidRPr="0045125D" w:rsidRDefault="005D3E7B" w:rsidP="005D3E7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Dihydropyridine and </w:t>
      </w:r>
      <w:proofErr w:type="spellStart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nondihydropyridine</w:t>
      </w:r>
      <w:proofErr w:type="spellEnd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CCBs are first-line antihypertensive therapies and are also used in addition to or instead of other first</w:t>
      </w:r>
      <w:r w:rsidR="00FC7499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line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agents for the compelling indication of ischemic heart disease.</w:t>
      </w:r>
    </w:p>
    <w:p w:rsidR="005D3E7B" w:rsidRPr="004A73A6" w:rsidRDefault="005D3E7B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5D3E7B" w:rsidP="00FC749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Dihydropyridine CCBs may cause reflex sympathetic activation,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and all agents (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except amlodipine and felodipine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)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may have negative inotropic effects.</w:t>
      </w:r>
    </w:p>
    <w:p w:rsidR="005D3E7B" w:rsidRPr="004A73A6" w:rsidRDefault="005D3E7B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FC7499" w:rsidRDefault="00FC7499" w:rsidP="005D3E7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5D3E7B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Verapamil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decreases heart rate, slows atrioventricular (AV) nodal conduction, and produces a negative inotropic effect that may precipitate HF in</w:t>
      </w:r>
      <w:r w:rsidR="005D3E7B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patients with borderline cardiac reserve. 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Diltiazem decreases AV conduction and heart rate to a lesser extent than verapamil.</w:t>
      </w:r>
    </w:p>
    <w:p w:rsidR="005D3E7B" w:rsidRPr="004A73A6" w:rsidRDefault="005D3E7B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FC7499" w:rsidP="0063410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</w:t>
      </w:r>
      <w:r w:rsidR="005D3E7B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Diltiazem and verapamil can cause cardiac conduction abnormalities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such as bradycardia, AV block, and HF. Both can cause peripheral edema and</w:t>
      </w:r>
      <w:r w:rsidR="0063410E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hypotension. 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Verapamil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causes 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constipation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in about 7% of patients.</w:t>
      </w:r>
    </w:p>
    <w:p w:rsidR="004A73A6" w:rsidRPr="004A73A6" w:rsidRDefault="004A73A6" w:rsidP="0063410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FC7499" w:rsidP="004A73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</w:t>
      </w:r>
      <w:r w:rsidR="0063410E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Dihydropyridines cause a baroreceptor-mediated reflex increase in heart rate because of potent peripheral vasodilating effects. Dihydropyridines</w:t>
      </w:r>
      <w:r w:rsidR="0063410E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do not decrease AV node conduction and are not effective for treating supraventricular </w:t>
      </w:r>
      <w:proofErr w:type="spellStart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tachyarrhythmias</w:t>
      </w:r>
      <w:proofErr w:type="spellEnd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63410E" w:rsidRDefault="00FC7499" w:rsidP="0063410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</w:t>
      </w:r>
      <w:r w:rsidR="0063410E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Short-acting 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nifedipine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may rarely increase frequency, intensity, and duration of angina in association with acute hypotension. This effect may be</w:t>
      </w:r>
      <w:r w:rsidR="0063410E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obviated by using 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sustained-release formulations of </w:t>
      </w:r>
      <w:proofErr w:type="spellStart"/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nifedipine</w:t>
      </w:r>
      <w:proofErr w:type="spellEnd"/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or other </w:t>
      </w:r>
      <w:proofErr w:type="spellStart"/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dihydropyridines</w:t>
      </w:r>
      <w:proofErr w:type="spellEnd"/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.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63410E" w:rsidRPr="004A73A6" w:rsidRDefault="0063410E" w:rsidP="0063410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FC7499" w:rsidP="0063410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</w:t>
      </w:r>
      <w:r w:rsidR="0063410E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Other side effects of </w:t>
      </w:r>
      <w:proofErr w:type="spellStart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dihydropyridines</w:t>
      </w:r>
      <w:proofErr w:type="spellEnd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are dizziness,</w:t>
      </w:r>
      <w:r w:rsidR="0063410E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flushing, headache, gingival hyperplasia, and peripheral edema.</w:t>
      </w:r>
    </w:p>
    <w:p w:rsidR="0063410E" w:rsidRPr="004A73A6" w:rsidRDefault="0063410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45125D" w:rsidP="0063410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022299">
        <w:rPr>
          <w:rFonts w:asciiTheme="majorBidi" w:hAnsiTheme="majorBidi" w:cstheme="majorBidi"/>
          <w:b/>
          <w:bCs/>
          <w:color w:val="FF0000"/>
          <w:sz w:val="32"/>
          <w:szCs w:val="32"/>
        </w:rPr>
        <w:t>Diuretics</w:t>
      </w:r>
    </w:p>
    <w:p w:rsidR="0045125D" w:rsidRPr="0045125D" w:rsidRDefault="0063410E" w:rsidP="0063410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Thiazides are the preferred type of diuretic and are a first-line option for most patients with hypertension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proofErr w:type="spellStart"/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>Chlorthalidone</w:t>
      </w:r>
      <w:proofErr w:type="spellEnd"/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(thiazide-like) is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preferred over 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hydrochlorothiazide,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especially in resistant hypertension, because it is more potent on a milligram-per-milligram basis.</w:t>
      </w:r>
    </w:p>
    <w:p w:rsidR="0063410E" w:rsidRPr="004A73A6" w:rsidRDefault="0063410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63410E" w:rsidP="00FC749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</w:t>
      </w:r>
      <w:r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-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Loop diuretics </w:t>
      </w:r>
      <w:r w:rsidR="004A73A6">
        <w:rPr>
          <w:rFonts w:asciiTheme="majorBidi" w:hAnsiTheme="majorBidi" w:cstheme="majorBidi"/>
          <w:b/>
          <w:bCs/>
          <w:color w:val="333333"/>
          <w:sz w:val="28"/>
          <w:szCs w:val="28"/>
        </w:rPr>
        <w:t>(</w:t>
      </w:r>
      <w:r w:rsidR="004A73A6">
        <w:rPr>
          <w:rFonts w:ascii="Times New Roman" w:hAnsi="Times New Roman" w:cs="Times New Roman"/>
          <w:sz w:val="28"/>
          <w:szCs w:val="28"/>
        </w:rPr>
        <w:t xml:space="preserve">Furosemide, </w:t>
      </w:r>
      <w:proofErr w:type="spellStart"/>
      <w:r w:rsidR="004A73A6">
        <w:rPr>
          <w:rFonts w:ascii="Times New Roman" w:hAnsi="Times New Roman" w:cs="Times New Roman"/>
          <w:sz w:val="28"/>
          <w:szCs w:val="28"/>
        </w:rPr>
        <w:t>Bumetanide</w:t>
      </w:r>
      <w:proofErr w:type="spellEnd"/>
      <w:r w:rsidR="004A73A6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4A73A6">
        <w:rPr>
          <w:rFonts w:ascii="Times New Roman" w:hAnsi="Times New Roman" w:cs="Times New Roman"/>
          <w:sz w:val="28"/>
          <w:szCs w:val="28"/>
        </w:rPr>
        <w:t>Torasemide</w:t>
      </w:r>
      <w:proofErr w:type="spellEnd"/>
      <w:r w:rsidR="004A73A6">
        <w:rPr>
          <w:rFonts w:ascii="Times New Roman" w:hAnsi="Times New Roman" w:cs="Times New Roman"/>
          <w:sz w:val="28"/>
          <w:szCs w:val="28"/>
        </w:rPr>
        <w:t xml:space="preserve">) 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are more potent for inducing diuresis but are not ideal antihypertensives unless edema treatment is also needed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. Loop diuretics</w:t>
      </w:r>
      <w:r w:rsidR="00FC749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are sometimes required over thiazides in patients with severe CKD when eGFR is &lt;30 mL/min/1.73 m</w:t>
      </w:r>
      <w:r w:rsidR="0045125D" w:rsidRPr="00FC7499">
        <w:rPr>
          <w:rFonts w:asciiTheme="majorBidi" w:hAnsiTheme="majorBidi" w:cstheme="majorBidi"/>
          <w:color w:val="333333"/>
          <w:sz w:val="28"/>
          <w:szCs w:val="28"/>
          <w:vertAlign w:val="superscript"/>
        </w:rPr>
        <w:t>2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, especially when edema is present.</w:t>
      </w:r>
    </w:p>
    <w:p w:rsidR="0063410E" w:rsidRPr="004A73A6" w:rsidRDefault="0063410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63410E" w:rsidP="00FC749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Potassium-sparing diuretics are weak antihypertensives when used alone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and provide minimal additive effect when combined with a thiazide or</w:t>
      </w:r>
      <w:r w:rsidR="00FC749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loop diuretic. Their primary use is in combination with another diuretic 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to counteract potassium-wasting properties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63410E" w:rsidRPr="004A73A6" w:rsidRDefault="0063410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63410E" w:rsidP="00FC749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Mineralocorticoid receptor antagonists (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spironolactone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and 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eplerenone)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are also potassium-sparing diuretics that are usually 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used to treat</w:t>
      </w:r>
      <w:r w:rsidR="00FC7499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resistant hypertension because elevated aldosterone concentrations are prevalent in this setting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. They are also used as add-on agents in patients</w:t>
      </w:r>
      <w:r w:rsidR="00FC749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with </w:t>
      </w:r>
      <w:proofErr w:type="spellStart"/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HFrEF</w:t>
      </w:r>
      <w:proofErr w:type="spellEnd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with or without concomitant hypertension.</w:t>
      </w:r>
    </w:p>
    <w:p w:rsidR="0063410E" w:rsidRPr="004A73A6" w:rsidRDefault="0063410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1A4491" w:rsidRPr="0045125D" w:rsidRDefault="001A4491" w:rsidP="00FC749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Acutely, diuretics lower BP by causing diuresis. With chronic therapy</w:t>
      </w:r>
      <w:r w:rsidR="00FC7499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FC7499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r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educed</w:t>
      </w:r>
      <w:r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peripheral vascular resistance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is responsible for persistent hypotensive effects. </w:t>
      </w:r>
    </w:p>
    <w:p w:rsidR="001A4491" w:rsidRPr="004A73A6" w:rsidRDefault="001A4491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0746CE" w:rsidRDefault="001A4491" w:rsidP="001A44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lastRenderedPageBreak/>
        <w:t>6-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Combining diuretics with other antihypertensive agents usually results in an 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additive hypotensive effect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because of independent mechanisms of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action. Furthermore, many </w:t>
      </w:r>
      <w:proofErr w:type="spellStart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nondiuretic</w:t>
      </w:r>
      <w:proofErr w:type="spellEnd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antihypertensive agents induce sodium and water retention, which is counteracted by concurrent diuretic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use.</w:t>
      </w:r>
    </w:p>
    <w:p w:rsidR="0045125D" w:rsidRPr="004A73A6" w:rsidRDefault="0045125D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1A4491" w:rsidRDefault="001A4491" w:rsidP="00FC749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7-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Side effects of thiazides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include hypokalemia, </w:t>
      </w:r>
      <w:proofErr w:type="spellStart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hypomagnesemia</w:t>
      </w:r>
      <w:proofErr w:type="spellEnd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hypercalcemia</w:t>
      </w:r>
      <w:proofErr w:type="spellEnd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hyperuricemia</w:t>
      </w:r>
      <w:proofErr w:type="spellEnd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, hyperglycemia, dyslipidemia, and sexual</w:t>
      </w:r>
      <w:r w:rsidR="00FC7499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dysfunction. </w:t>
      </w:r>
    </w:p>
    <w:p w:rsidR="001A4491" w:rsidRPr="004A73A6" w:rsidRDefault="001A4491" w:rsidP="001A44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1A4491" w:rsidP="001A44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8-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Loop diuretics have less effect on serum lipids and glucose, but hypokalemia is more pronounced, and 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hypocalcemia may occur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1A4491" w:rsidRPr="004A73A6" w:rsidRDefault="001A4491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1A4491" w:rsidP="00FC749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9-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Hypokalemia and </w:t>
      </w:r>
      <w:proofErr w:type="spellStart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hypomagnesemia</w:t>
      </w:r>
      <w:proofErr w:type="spellEnd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may cause muscle fatigue or cramps, and severe electrolyte abnormalities may result in serious cardiac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arrhythmias. Low-dose therapy causes less electrolyte disturbances than higher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doses.</w:t>
      </w:r>
    </w:p>
    <w:p w:rsidR="001A4491" w:rsidRPr="004A73A6" w:rsidRDefault="001A4491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1A4491" w:rsidRDefault="001A4491" w:rsidP="001A44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10-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Potassium-sparing diuretics may cause hyperkalemia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, especially in patients with CKD or diabetes and in patients receiving concurrent treatment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with a mineralocorticoid receptor antagonist, ACE inhibitor, ARB, direct renin inhibitor, or potassium supplement.</w:t>
      </w:r>
    </w:p>
    <w:p w:rsidR="001A4491" w:rsidRPr="004A73A6" w:rsidRDefault="001A4491" w:rsidP="001A44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1A4491" w:rsidP="001A44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11-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Spironolactone may</w:t>
      </w:r>
      <w:r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cause </w:t>
      </w:r>
      <w:proofErr w:type="spellStart"/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gynecomastia</w:t>
      </w:r>
      <w:proofErr w:type="spellEnd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in up to 10% of patients; this effect occurs rarely with 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>eplerenone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45125D" w:rsidRPr="004A73A6" w:rsidRDefault="0045125D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022299" w:rsidRDefault="0045125D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proofErr w:type="gramStart"/>
      <w:r w:rsidRPr="00022299">
        <w:rPr>
          <w:rFonts w:asciiTheme="majorBidi" w:hAnsiTheme="majorBidi" w:cstheme="majorBidi"/>
          <w:b/>
          <w:bCs/>
          <w:color w:val="FF0000"/>
          <w:sz w:val="32"/>
          <w:szCs w:val="32"/>
        </w:rPr>
        <w:t>β-Blockers</w:t>
      </w:r>
      <w:proofErr w:type="gramEnd"/>
    </w:p>
    <w:p w:rsidR="0045125D" w:rsidRPr="0045125D" w:rsidRDefault="001A4491" w:rsidP="001A44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Evidence suggests that β-blockers may not reduce CV events as well as ACE inhibitors, ARBs, CCBs, or thiazides when used as the initial drug in</w:t>
      </w:r>
      <w:r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patients who do not have a compelling indication for a β-blocker.</w:t>
      </w:r>
    </w:p>
    <w:p w:rsidR="001A4491" w:rsidRPr="004A73A6" w:rsidRDefault="001A4491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1A4491" w:rsidRDefault="001A4491" w:rsidP="001A44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β-Blockers are appropriate </w:t>
      </w:r>
      <w:r w:rsidR="0045125D" w:rsidRPr="00FC7499">
        <w:rPr>
          <w:rFonts w:asciiTheme="majorBidi" w:hAnsiTheme="majorBidi" w:cstheme="majorBidi"/>
          <w:b/>
          <w:bCs/>
          <w:color w:val="333333"/>
          <w:sz w:val="28"/>
          <w:szCs w:val="28"/>
        </w:rPr>
        <w:t>first-line agents when used to treat specific compelling indications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or when an ACE inhibitor, ARB, CCB, or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thiazide cannot be used. </w:t>
      </w:r>
    </w:p>
    <w:p w:rsidR="001A4491" w:rsidRPr="004A73A6" w:rsidRDefault="001A4491" w:rsidP="001A44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0746CE" w:rsidRDefault="001A4491" w:rsidP="001A44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β-Blockers also have an important role as add-on therapy to first-line agents in patients with hypertension but no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compelling indications.</w:t>
      </w:r>
    </w:p>
    <w:p w:rsidR="001A4491" w:rsidRPr="004A73A6" w:rsidRDefault="001A4491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1A4491" w:rsidP="007215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Atenolol, </w:t>
      </w:r>
      <w:proofErr w:type="spellStart"/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>betaxolol</w:t>
      </w:r>
      <w:proofErr w:type="spellEnd"/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>bisoprolol</w:t>
      </w:r>
      <w:proofErr w:type="spellEnd"/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, metoprolol,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and 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nebivolol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are </w:t>
      </w:r>
      <w:r w:rsidR="00721505" w:rsidRPr="0045125D">
        <w:rPr>
          <w:rFonts w:asciiTheme="majorBidi" w:hAnsiTheme="majorBidi" w:cstheme="majorBidi"/>
          <w:color w:val="333333"/>
          <w:sz w:val="28"/>
          <w:szCs w:val="28"/>
        </w:rPr>
        <w:t>β1</w:t>
      </w:r>
      <w:r w:rsidR="00721505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cardioselective at low. As a result, they are </w:t>
      </w:r>
      <w:r w:rsidR="0045125D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>less likely to provoke bronchospasm and vasoconstriction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and are safer than nonselective β-blockers in patients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with asthma or diabetes who have a compelling indication for a β-blocker. </w:t>
      </w:r>
      <w:proofErr w:type="spellStart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Cardioselectivity</w:t>
      </w:r>
      <w:proofErr w:type="spellEnd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is a dose-dependent phenomenon, and the effect is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lost at higher doses.</w:t>
      </w:r>
    </w:p>
    <w:p w:rsidR="001A4491" w:rsidRPr="004A73A6" w:rsidRDefault="001A4491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1A4491" w:rsidP="001A44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Acebutolol, </w:t>
      </w:r>
      <w:proofErr w:type="spellStart"/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>carteolol</w:t>
      </w:r>
      <w:proofErr w:type="spellEnd"/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and </w:t>
      </w:r>
      <w:proofErr w:type="spellStart"/>
      <w:r w:rsidR="0045125D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>pindolol</w:t>
      </w:r>
      <w:proofErr w:type="spellEnd"/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possess </w:t>
      </w:r>
      <w:r w:rsidR="0045125D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>intrinsic sympathomimetic activity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(ISA) or partial β-receptor agonist activity. Theoretically, these drugs may have advantages in select patients with HF or sinus bradycardia.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Unfortunately, </w:t>
      </w:r>
      <w:r w:rsidR="0045125D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>they do not reduce CV events as well as other β-blockers and may increase CV risk in patients with SIHD. Thus, agents with ISA are</w:t>
      </w:r>
      <w:r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45125D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>rarely needed and have no role in hypertension management.</w:t>
      </w:r>
    </w:p>
    <w:p w:rsidR="001A4491" w:rsidRPr="004A73A6" w:rsidRDefault="001A4491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1A4491" w:rsidRDefault="001A4491" w:rsidP="001A44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6-</w:t>
      </w:r>
      <w:r w:rsidR="0045125D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Atenolol and </w:t>
      </w:r>
      <w:proofErr w:type="spellStart"/>
      <w:r w:rsidR="0045125D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>nadolol</w:t>
      </w:r>
      <w:proofErr w:type="spellEnd"/>
      <w:r w:rsidR="0045125D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have relatively long half-lives and are excreted renally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; the dosage may need to be reduced in patients with renal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insufficiency. </w:t>
      </w:r>
    </w:p>
    <w:p w:rsidR="001A4491" w:rsidRPr="004A73A6" w:rsidRDefault="001A4491" w:rsidP="001A44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1A4491" w:rsidP="001A44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Even though the half-lives of other β-blockers are shorter, once-daily administration still may be effective.</w:t>
      </w:r>
    </w:p>
    <w:p w:rsidR="001A4491" w:rsidRDefault="001A4491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1A4491" w:rsidRDefault="001A4491" w:rsidP="001A44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lastRenderedPageBreak/>
        <w:t>8-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Cardiac side effects include bradycardia, AV conduction abnormalities, and acute HF. Blocking β2-receptors in arteriolar smooth muscle may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cause cold extremities and aggravate intermittent claudication or Raynaud phenomenon because of decreased peripheral blood flow. </w:t>
      </w:r>
    </w:p>
    <w:p w:rsidR="001A4491" w:rsidRPr="004A73A6" w:rsidRDefault="001A4491" w:rsidP="001A44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1A4491" w:rsidP="001A44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9-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Increases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in serum lipids and glucose appear to be transient and of little clinical significance.</w:t>
      </w:r>
    </w:p>
    <w:p w:rsidR="001A4491" w:rsidRPr="004A73A6" w:rsidRDefault="001A4491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45125D" w:rsidRDefault="001A4491" w:rsidP="001A44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10-</w:t>
      </w:r>
      <w:r w:rsidR="0045125D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>Abrupt cessation of β-blocker therapy can produce cardiac ischemia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(angina, chest pain), a CV event, or even death in patients with coronary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artery disease. In patients without heart disease, abrupt discontinuation of β-blockers may be associated with tachycardia, sweating, and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generalized malaise in addition to increased BP. </w:t>
      </w:r>
      <w:r w:rsidR="0045125D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>For these reasons, the dose should always be tapered gradually over 1–2 weeks before</w:t>
      </w:r>
      <w:r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45125D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>discontinuation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4A73A6" w:rsidRPr="004A73A6" w:rsidRDefault="004A73A6" w:rsidP="001A44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022299" w:rsidRDefault="0045125D" w:rsidP="004A73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proofErr w:type="gramStart"/>
      <w:r w:rsidRPr="00022299">
        <w:rPr>
          <w:rFonts w:asciiTheme="majorBidi" w:hAnsiTheme="majorBidi" w:cstheme="majorBidi"/>
          <w:b/>
          <w:bCs/>
          <w:color w:val="FF0000"/>
          <w:sz w:val="32"/>
          <w:szCs w:val="32"/>
        </w:rPr>
        <w:t>α1-Receptor</w:t>
      </w:r>
      <w:proofErr w:type="gramEnd"/>
      <w:r w:rsidRPr="00022299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Blockers</w:t>
      </w:r>
    </w:p>
    <w:p w:rsidR="0045125D" w:rsidRPr="0045125D" w:rsidRDefault="001467B2" w:rsidP="001467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Prazosin, terazosin,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and </w:t>
      </w:r>
      <w:proofErr w:type="spellStart"/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>doxazosin</w:t>
      </w:r>
      <w:proofErr w:type="spellEnd"/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are selective α1-receptor blockers that inhibit catecholamine uptake in smooth muscle cells of peripheral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vasculature, resulting in vasodilation and BP lowering.</w:t>
      </w:r>
    </w:p>
    <w:p w:rsidR="001467B2" w:rsidRPr="004A73A6" w:rsidRDefault="001467B2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1467B2" w:rsidRDefault="001467B2" w:rsidP="007215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A </w:t>
      </w:r>
      <w:r w:rsidR="0045125D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>first-dose phenomenon characterized by orthostatic hypotension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accompanied by transient dizziness or faintness, palpitations, and even</w:t>
      </w:r>
      <w:r w:rsidR="0072150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syncope may occur within 1–3 hours of the first dose or after later dosage increases. </w:t>
      </w:r>
    </w:p>
    <w:p w:rsidR="001467B2" w:rsidRPr="004A73A6" w:rsidRDefault="001467B2" w:rsidP="001467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45125D" w:rsidRDefault="001467B2" w:rsidP="001467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The patient should take the first dose (and subsequent first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increased doses) at </w:t>
      </w:r>
      <w:r w:rsidR="0045125D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>bedtime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. Occasionally, orthostatic hypotension and dizziness persist with chronic administration.</w:t>
      </w:r>
    </w:p>
    <w:p w:rsidR="001467B2" w:rsidRPr="004A73A6" w:rsidRDefault="001467B2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45125D" w:rsidRDefault="001467B2" w:rsidP="001467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Sodium and water retention can occur; these agents are most effective when given with a thiazide to maintain antihypertensive efficacy and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minimize edema.</w:t>
      </w:r>
    </w:p>
    <w:p w:rsidR="001467B2" w:rsidRPr="004A73A6" w:rsidRDefault="001467B2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45125D" w:rsidRDefault="001467B2" w:rsidP="001467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These agents block postsynaptic α1-adrenergic receptors on the prostate capsule, causing relaxation and decreased resistance to urinary outflow.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Although they can provide symptomatic benefit in men with benign prostatic hyperplasia, </w:t>
      </w:r>
      <w:r w:rsidR="0045125D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>they should be used to lower BP only in combination</w:t>
      </w:r>
      <w:r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45125D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>with first-line antihypertensive agents.</w:t>
      </w:r>
    </w:p>
    <w:p w:rsidR="001467B2" w:rsidRPr="004A73A6" w:rsidRDefault="001467B2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022299" w:rsidRDefault="0045125D" w:rsidP="001467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22299">
        <w:rPr>
          <w:rFonts w:asciiTheme="majorBidi" w:hAnsiTheme="majorBidi" w:cstheme="majorBidi"/>
          <w:b/>
          <w:bCs/>
          <w:color w:val="FF0000"/>
          <w:sz w:val="32"/>
          <w:szCs w:val="32"/>
        </w:rPr>
        <w:t>Direct Renin Inhibitor</w:t>
      </w:r>
    </w:p>
    <w:p w:rsidR="0045125D" w:rsidRPr="00721505" w:rsidRDefault="0045125D" w:rsidP="007215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>Aliskiren</w:t>
      </w:r>
      <w:r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45125D">
        <w:rPr>
          <w:rFonts w:asciiTheme="majorBidi" w:hAnsiTheme="majorBidi" w:cstheme="majorBidi"/>
          <w:color w:val="333333"/>
          <w:sz w:val="28"/>
          <w:szCs w:val="28"/>
        </w:rPr>
        <w:t>blocks the RAAS at its point of activation, resulting in reduced plasma renin activity and BP. It is approved for monotherapy or in</w:t>
      </w:r>
      <w:r w:rsidR="001467B2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45125D">
        <w:rPr>
          <w:rFonts w:asciiTheme="majorBidi" w:hAnsiTheme="majorBidi" w:cstheme="majorBidi"/>
          <w:color w:val="333333"/>
          <w:sz w:val="28"/>
          <w:szCs w:val="28"/>
        </w:rPr>
        <w:t>combination therapy.</w:t>
      </w:r>
      <w:r w:rsidR="0072150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>Its role in the management of hypertension is limited.</w:t>
      </w:r>
    </w:p>
    <w:p w:rsidR="001467B2" w:rsidRPr="004A73A6" w:rsidRDefault="001467B2" w:rsidP="001467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022299" w:rsidRDefault="0045125D" w:rsidP="001A44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22299">
        <w:rPr>
          <w:rFonts w:asciiTheme="majorBidi" w:hAnsiTheme="majorBidi" w:cstheme="majorBidi"/>
          <w:b/>
          <w:bCs/>
          <w:color w:val="FF0000"/>
          <w:sz w:val="32"/>
          <w:szCs w:val="32"/>
        </w:rPr>
        <w:t>Central α2-Agonists</w:t>
      </w:r>
    </w:p>
    <w:p w:rsidR="001467B2" w:rsidRPr="0045125D" w:rsidRDefault="001467B2" w:rsidP="001467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45125D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Clonidine, </w:t>
      </w:r>
      <w:proofErr w:type="spellStart"/>
      <w:r w:rsidR="0045125D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>guanfacine</w:t>
      </w:r>
      <w:proofErr w:type="spellEnd"/>
      <w:r w:rsidR="0045125D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>, and methyldopa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lower BP primarily by stimulating α2-adrenergic receptors in the brain, which reduces sympathetic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outflow from the vasomotor center.</w:t>
      </w:r>
    </w:p>
    <w:p w:rsidR="001467B2" w:rsidRPr="004A73A6" w:rsidRDefault="001467B2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721505" w:rsidRDefault="001467B2" w:rsidP="001467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Clonidine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is often used in resistant hypertension, and </w:t>
      </w:r>
      <w:r w:rsidR="0045125D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>methyldopa is frequently used for pregnancy-induced hypertension.</w:t>
      </w:r>
    </w:p>
    <w:p w:rsidR="001467B2" w:rsidRPr="004A73A6" w:rsidRDefault="001467B2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721505" w:rsidRDefault="001467B2" w:rsidP="007215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Chronic use results in sodium and fluid retention. Other side effects include depression, orthostatic hypotension, dizziness, and anticholinergic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effects (</w:t>
      </w:r>
      <w:proofErr w:type="spellStart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eg</w:t>
      </w:r>
      <w:proofErr w:type="spellEnd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, dry mouth, sedation).</w:t>
      </w:r>
      <w:r w:rsidR="0072150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>Abrupt cessation may lead to rebound hypertension</w:t>
      </w:r>
    </w:p>
    <w:p w:rsidR="001467B2" w:rsidRPr="004A73A6" w:rsidRDefault="001467B2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721505" w:rsidRDefault="00721505" w:rsidP="007215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lastRenderedPageBreak/>
        <w:t>4</w:t>
      </w:r>
      <w:r w:rsidR="001467B2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Methyldopa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rarely causes hepatitis or hemolytic anemia. A transient elevation in hepatic transaminases occasionally occurs. Discontinue therapy</w:t>
      </w:r>
      <w:r w:rsidR="001467B2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if persistent increases in liver function tests occur, because this may herald onset of fulminant, life-threatening hepatitis.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>Coombs-positive</w:t>
      </w:r>
      <w:r w:rsidR="001467B2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45125D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>hemolytic anemia occurs rarely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, and 20% of patients exhibit a positive direct Coombs test without anemia. </w:t>
      </w:r>
      <w:r w:rsidR="0045125D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>For these reasons, methyldopa has</w:t>
      </w:r>
      <w:r w:rsidR="001467B2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45125D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>limited usefulness except in pregnancy.</w:t>
      </w:r>
    </w:p>
    <w:p w:rsidR="001A4491" w:rsidRPr="004A73A6" w:rsidRDefault="001A4491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022299" w:rsidRDefault="0045125D" w:rsidP="001A44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22299">
        <w:rPr>
          <w:rFonts w:asciiTheme="majorBidi" w:hAnsiTheme="majorBidi" w:cstheme="majorBidi"/>
          <w:b/>
          <w:bCs/>
          <w:color w:val="FF0000"/>
          <w:sz w:val="32"/>
          <w:szCs w:val="32"/>
        </w:rPr>
        <w:t>Direct Arterial Vasodilators</w:t>
      </w:r>
    </w:p>
    <w:p w:rsidR="001A4491" w:rsidRDefault="001A4491" w:rsidP="001A44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45125D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>Hydralazine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and </w:t>
      </w:r>
      <w:proofErr w:type="spellStart"/>
      <w:r w:rsidR="0045125D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>minoxidil</w:t>
      </w:r>
      <w:proofErr w:type="spellEnd"/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directly relax arteriolar smooth muscle, resulting in vasodilation and BP lowering. Compensatory activation of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baroreceptor reflexes increases sympathetic outflow, thereby increasing heart rate, cardiac output, and renin release. </w:t>
      </w:r>
      <w:r w:rsidR="0045125D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>Consequently, hypotensive</w:t>
      </w:r>
      <w:r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45125D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>effectiveness of direct vasodilators diminishes over time unless the patient is also taking a diuretic and a β-blocker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1A4491" w:rsidRPr="004A73A6" w:rsidRDefault="001A4491" w:rsidP="001A44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45125D" w:rsidRDefault="001A4491" w:rsidP="001A44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Direct vasodilators can precipitate angina in patients with underlying SIHD unless the baroreceptor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reflex mechanism is blocked with a β-blocker. </w:t>
      </w:r>
      <w:proofErr w:type="spellStart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Nondihydropyridine</w:t>
      </w:r>
      <w:proofErr w:type="spellEnd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CCBs can be used as an alternative to β-blockers in patients with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contraindications to β-blockers.</w:t>
      </w:r>
    </w:p>
    <w:p w:rsidR="001A4491" w:rsidRPr="004A73A6" w:rsidRDefault="001A4491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45125D" w:rsidRDefault="001A4491" w:rsidP="001A44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45125D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>Hydralazine may cause a dose-related, reversible lupus-like syndrome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, which is more common in slow </w:t>
      </w:r>
      <w:proofErr w:type="spellStart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acetylators</w:t>
      </w:r>
      <w:proofErr w:type="spellEnd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. Lupus-like reactions can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usually be avoided by limiting the maximum total daily dose to 200 mg. Because of side effects, 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hydralazine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has limited usefulness for chronic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hypertension management.</w:t>
      </w:r>
    </w:p>
    <w:p w:rsidR="001A4491" w:rsidRPr="004A73A6" w:rsidRDefault="001A4491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45125D" w:rsidRDefault="001A4491" w:rsidP="001A449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>Minoxidil cause r</w:t>
      </w:r>
      <w:r w:rsidR="0045125D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eversible </w:t>
      </w:r>
      <w:proofErr w:type="spellStart"/>
      <w:r w:rsidR="0045125D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>hypertrichosis</w:t>
      </w:r>
      <w:proofErr w:type="spellEnd"/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on the face, arms, back, and chest may be troublesome. 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Minoxidil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is reserved for resistant hypertension and for patients requiring 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>hydralazine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who experience drug-induced lupus.</w:t>
      </w:r>
    </w:p>
    <w:p w:rsidR="00022299" w:rsidRPr="004A73A6" w:rsidRDefault="00022299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022299" w:rsidRDefault="0045125D" w:rsidP="0002229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022299">
        <w:rPr>
          <w:rFonts w:asciiTheme="majorBidi" w:hAnsiTheme="majorBidi" w:cstheme="majorBidi"/>
          <w:b/>
          <w:bCs/>
          <w:color w:val="0000FF"/>
          <w:sz w:val="32"/>
          <w:szCs w:val="32"/>
        </w:rPr>
        <w:t>Special Populations</w:t>
      </w:r>
    </w:p>
    <w:p w:rsidR="0045125D" w:rsidRPr="00022299" w:rsidRDefault="0045125D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22299">
        <w:rPr>
          <w:rFonts w:asciiTheme="majorBidi" w:hAnsiTheme="majorBidi" w:cstheme="majorBidi"/>
          <w:b/>
          <w:bCs/>
          <w:color w:val="FF0000"/>
          <w:sz w:val="32"/>
          <w:szCs w:val="32"/>
        </w:rPr>
        <w:t>Older Persons</w:t>
      </w:r>
    </w:p>
    <w:p w:rsidR="0045125D" w:rsidRPr="0045125D" w:rsidRDefault="001369C1" w:rsidP="001369C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Older patients may present with either isolated systolic hypertension or elevation in both SBP and DBP. </w:t>
      </w:r>
      <w:r w:rsidR="0045125D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>CV morbidity and mortality are more</w:t>
      </w:r>
      <w:r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45125D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>directly correlated to SBP than to DBP in patients aged 50 and older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1369C1" w:rsidRPr="004A73A6" w:rsidRDefault="001369C1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45125D" w:rsidRDefault="001369C1" w:rsidP="001369C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First-line antihypertensives provide significant benefits and can be used safely in older patients, </w:t>
      </w:r>
      <w:r w:rsidR="0045125D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>but smaller-than-usual initial doses must be used</w:t>
      </w:r>
      <w:r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45125D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>for initial therapy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1369C1" w:rsidRPr="004A73A6" w:rsidRDefault="001369C1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022299" w:rsidRDefault="0045125D" w:rsidP="001369C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22299">
        <w:rPr>
          <w:rFonts w:asciiTheme="majorBidi" w:hAnsiTheme="majorBidi" w:cstheme="majorBidi"/>
          <w:b/>
          <w:bCs/>
          <w:color w:val="FF0000"/>
          <w:sz w:val="32"/>
          <w:szCs w:val="32"/>
        </w:rPr>
        <w:t>Children and Adolescents</w:t>
      </w:r>
    </w:p>
    <w:p w:rsidR="0045125D" w:rsidRPr="0045125D" w:rsidRDefault="001369C1" w:rsidP="007215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In children, hypertension is defined as </w:t>
      </w:r>
      <w:r w:rsidR="0045125D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>SBP or DBP that is &gt;95th percentile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for sex, age, and height on at least three occasions. For adolescents, BP</w:t>
      </w:r>
      <w:r w:rsidR="0072150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values between the 90th and 95th percentile, or &gt;120/80 mm Hg, is considered elevated BP.</w:t>
      </w:r>
    </w:p>
    <w:p w:rsidR="001369C1" w:rsidRPr="004A73A6" w:rsidRDefault="001369C1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45125D" w:rsidRDefault="001369C1" w:rsidP="001369C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Because </w:t>
      </w:r>
      <w:r w:rsidR="0045125D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>secondary hypertension is more common in children and adolescents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than in adults, an appropriate workup is required if elevated BP is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identified.</w:t>
      </w:r>
    </w:p>
    <w:p w:rsidR="001369C1" w:rsidRPr="004A73A6" w:rsidRDefault="001369C1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45125D" w:rsidRDefault="001369C1" w:rsidP="007215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45125D" w:rsidRPr="00721505">
        <w:rPr>
          <w:rFonts w:asciiTheme="majorBidi" w:hAnsiTheme="majorBidi" w:cstheme="majorBidi"/>
          <w:b/>
          <w:bCs/>
          <w:color w:val="333333"/>
          <w:sz w:val="28"/>
          <w:szCs w:val="28"/>
        </w:rPr>
        <w:t>Nonpharmacologic treatment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is the </w:t>
      </w:r>
      <w:r w:rsidR="0045125D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>cornerstone of therapy for primary</w:t>
      </w:r>
      <w:r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45125D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>hypertension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1369C1" w:rsidRPr="004A73A6" w:rsidRDefault="001369C1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45125D" w:rsidRDefault="001369C1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ACE inhibitors, ARBs, β-blockers, CCBs, and thiazide diuretics are all acceptable drug therapy choices.</w:t>
      </w:r>
    </w:p>
    <w:p w:rsidR="001369C1" w:rsidRDefault="001369C1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45125D" w:rsidRPr="00022299" w:rsidRDefault="0045125D" w:rsidP="001369C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22299">
        <w:rPr>
          <w:rFonts w:asciiTheme="majorBidi" w:hAnsiTheme="majorBidi" w:cstheme="majorBidi"/>
          <w:b/>
          <w:bCs/>
          <w:color w:val="FF0000"/>
          <w:sz w:val="32"/>
          <w:szCs w:val="32"/>
        </w:rPr>
        <w:lastRenderedPageBreak/>
        <w:t>Pregnancy</w:t>
      </w:r>
    </w:p>
    <w:p w:rsidR="0045125D" w:rsidRPr="0045125D" w:rsidRDefault="001369C1" w:rsidP="004B294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Preeclampsia is defined as hypertension (elevated BP ≥140/90 mm Hg </w:t>
      </w:r>
      <w:r w:rsidR="0045125D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>on more than 2 occasions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at least 4 hours apart </w:t>
      </w:r>
      <w:r w:rsidR="0045125D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>after 20 weeks’ gestation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or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≥160/110 mm Hg confirmed within a short interval) in association with </w:t>
      </w:r>
      <w:r w:rsidR="0045125D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>thrombocytopenia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45125D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>impaired liver function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45125D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>new-onset renal insufficiency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,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>pulmonary edema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, or </w:t>
      </w:r>
      <w:r w:rsidR="0045125D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new-onset cerebral or visual disturbances.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It can lead to life-threatening complications for both mother and fetus.</w:t>
      </w:r>
    </w:p>
    <w:p w:rsidR="001369C1" w:rsidRPr="004A73A6" w:rsidRDefault="001369C1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45125D" w:rsidRDefault="001369C1" w:rsidP="001369C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45125D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>Eclampsia is the onset of convulsions in preeclampsia and is a medical emergency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1369C1" w:rsidRPr="004A73A6" w:rsidRDefault="001369C1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45125D" w:rsidRDefault="001369C1" w:rsidP="004B294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Definitive treatment of preeclampsia is </w:t>
      </w:r>
      <w:r w:rsidR="0045125D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>delivery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, and labor induction is indicated if </w:t>
      </w:r>
      <w:proofErr w:type="spellStart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eclampsia</w:t>
      </w:r>
      <w:proofErr w:type="spellEnd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is imminent or present. Otherwise, management</w:t>
      </w:r>
      <w:r w:rsidR="004B294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consists of restricting activity, bed rest, and close monitoring. Salt restriction or other measures that contract blood volume should be avoided.</w:t>
      </w:r>
      <w:r w:rsidR="004B294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1369C1" w:rsidRPr="004A73A6" w:rsidRDefault="001369C1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45125D" w:rsidRDefault="001369C1" w:rsidP="001369C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45125D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>Antihypertensives are used before induction of labor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if DBP is &gt;105 mm Hg, with a target DBP of 95–105 mm Hg. Intravenous (IV) 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hydralazine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is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most commonly used; IV 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labetalol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is also effective.</w:t>
      </w:r>
    </w:p>
    <w:p w:rsidR="00E05705" w:rsidRPr="004A73A6" w:rsidRDefault="00E05705" w:rsidP="001369C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45125D" w:rsidRDefault="001369C1" w:rsidP="004B294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</w:t>
      </w:r>
      <w:r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>-</w:t>
      </w:r>
      <w:r w:rsidR="0045125D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>Chronic hypertension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is hypertension that predates pregnancy. </w:t>
      </w:r>
      <w:r w:rsidR="0045125D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>Labetalol, long-acting nifedipine, or methyldopa is recommended as first-line</w:t>
      </w:r>
      <w:r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45125D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>therapy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due to favorable safety profiles. </w:t>
      </w:r>
      <w:proofErr w:type="gramStart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β-Blockers</w:t>
      </w:r>
      <w:proofErr w:type="gramEnd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r w:rsidR="0045125D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>except atenolol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) and CCBs are also reasonable alternatives. </w:t>
      </w:r>
    </w:p>
    <w:p w:rsidR="009B224B" w:rsidRPr="004A73A6" w:rsidRDefault="009B224B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022299" w:rsidRDefault="0045125D" w:rsidP="009B224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22299">
        <w:rPr>
          <w:rFonts w:asciiTheme="majorBidi" w:hAnsiTheme="majorBidi" w:cstheme="majorBidi"/>
          <w:b/>
          <w:bCs/>
          <w:color w:val="FF0000"/>
          <w:sz w:val="32"/>
          <w:szCs w:val="32"/>
        </w:rPr>
        <w:t>African Americans</w:t>
      </w:r>
    </w:p>
    <w:p w:rsidR="0045125D" w:rsidRPr="0045125D" w:rsidRDefault="009B224B" w:rsidP="009B224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Hypertension is more common and more difficult to control in African Americans than in those of other races; </w:t>
      </w:r>
      <w:r w:rsidR="0045125D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>treatment usually requires two or</w:t>
      </w:r>
      <w:r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45125D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>more antihypertensives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to reach a BP goal of &lt;130/80 mm Hg.</w:t>
      </w:r>
    </w:p>
    <w:p w:rsidR="009B224B" w:rsidRPr="004A73A6" w:rsidRDefault="009B224B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9B224B" w:rsidRDefault="009B224B" w:rsidP="009B224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45125D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>CCBs and thiazides are most effective in African Americans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and should be first-line in the absence of a compelling indication. </w:t>
      </w:r>
    </w:p>
    <w:p w:rsidR="009B224B" w:rsidRDefault="009B224B" w:rsidP="009B224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45125D" w:rsidRPr="009B224B" w:rsidRDefault="0045125D" w:rsidP="009B224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9B224B">
        <w:rPr>
          <w:rFonts w:asciiTheme="majorBidi" w:hAnsiTheme="majorBidi" w:cstheme="majorBidi"/>
          <w:b/>
          <w:bCs/>
          <w:color w:val="FF0000"/>
          <w:sz w:val="32"/>
          <w:szCs w:val="32"/>
        </w:rPr>
        <w:t>Pulmonary Disease and Peripheral Arterial Disease</w:t>
      </w:r>
      <w:r w:rsidR="001369C1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r w:rsidR="001369C1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>(PAD)</w:t>
      </w:r>
    </w:p>
    <w:p w:rsidR="009B224B" w:rsidRDefault="001369C1" w:rsidP="009B224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Although β-blockers (especially nonselective agents) have generally been avoided in hypertensive patients with asthma and COPD because of fear</w:t>
      </w:r>
      <w:r w:rsidR="009B224B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of inducing bronchospasm, </w:t>
      </w:r>
      <w:proofErr w:type="spellStart"/>
      <w:r w:rsidR="0045125D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>cardioselective</w:t>
      </w:r>
      <w:proofErr w:type="spellEnd"/>
      <w:r w:rsidR="0045125D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β-blockers can be used safely.</w:t>
      </w:r>
    </w:p>
    <w:p w:rsidR="009B224B" w:rsidRPr="004A73A6" w:rsidRDefault="009B224B" w:rsidP="009B224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0746CE" w:rsidRDefault="004B2945" w:rsidP="004B294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</w:t>
      </w:r>
      <w:r w:rsidR="001369C1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β-Blockers can theoretically be</w:t>
      </w:r>
      <w:r w:rsidR="001369C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problematic </w:t>
      </w:r>
      <w:r w:rsidR="001369C1">
        <w:rPr>
          <w:rFonts w:asciiTheme="majorBidi" w:hAnsiTheme="majorBidi" w:cstheme="majorBidi"/>
          <w:color w:val="333333"/>
          <w:sz w:val="28"/>
          <w:szCs w:val="28"/>
        </w:rPr>
        <w:t xml:space="preserve">in patients with </w:t>
      </w:r>
      <w:r w:rsidR="001369C1" w:rsidRPr="0045125D">
        <w:rPr>
          <w:rFonts w:asciiTheme="majorBidi" w:hAnsiTheme="majorBidi" w:cstheme="majorBidi"/>
          <w:color w:val="333333"/>
          <w:sz w:val="28"/>
          <w:szCs w:val="28"/>
        </w:rPr>
        <w:t>PAD</w:t>
      </w:r>
      <w:r w:rsidR="001369C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because of possible decreased peripheral blood flow secondary to unopposed stimulation of α1-receptors that results in</w:t>
      </w:r>
      <w:r w:rsidR="001369C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vasoconstriction. However, </w:t>
      </w:r>
      <w:r w:rsidR="0045125D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>available data indicate that β-blockers do not worsen claudication symptoms or cause functional impairment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1369C1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Therefore, </w:t>
      </w:r>
      <w:r w:rsidR="0045125D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>antihypertensive treatment for patients with PAD should follow the same general principles as patients without PAD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9B224B" w:rsidRPr="004A73A6" w:rsidRDefault="009B224B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022299" w:rsidRDefault="0045125D" w:rsidP="009B224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22299">
        <w:rPr>
          <w:rFonts w:asciiTheme="majorBidi" w:hAnsiTheme="majorBidi" w:cstheme="majorBidi"/>
          <w:b/>
          <w:bCs/>
          <w:color w:val="FF0000"/>
          <w:sz w:val="32"/>
          <w:szCs w:val="32"/>
        </w:rPr>
        <w:t>Hypertensive Urgencies and Emergencies</w:t>
      </w:r>
    </w:p>
    <w:p w:rsidR="009B224B" w:rsidRDefault="009B224B" w:rsidP="009B224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Hypertensive urgencies are ideally managed by adjusting maintenance therapy, adding a new antihypertensive, increasing the dose of a current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medication, or treating anxiety as applicable. </w:t>
      </w:r>
    </w:p>
    <w:p w:rsidR="009B224B" w:rsidRPr="004A73A6" w:rsidRDefault="009B224B" w:rsidP="009B224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45125D" w:rsidRDefault="009B224B" w:rsidP="009B224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Acute administration of a </w:t>
      </w:r>
      <w:r w:rsidR="0045125D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>short-acting oral drug (captopril, clonidine, or labetalol)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followed by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careful observation for several hours to ensure a gradual BP reduction is an option.</w:t>
      </w:r>
    </w:p>
    <w:p w:rsidR="0045125D" w:rsidRPr="000746CE" w:rsidRDefault="009B224B" w:rsidP="004B294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lastRenderedPageBreak/>
        <w:t>3-</w:t>
      </w:r>
      <w:r w:rsidR="0045125D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>Hypertensive emergencies require immediate BP reduction with a parenteral agent to limit new or progressing end-organ damage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.</w:t>
      </w:r>
      <w:r w:rsidR="004B294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Nitroprusside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is the agent of choice for minute-to-minute control in most cases.</w:t>
      </w:r>
    </w:p>
    <w:p w:rsidR="008D5E15" w:rsidRPr="004A73A6" w:rsidRDefault="008D5E15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022299" w:rsidRDefault="00022299" w:rsidP="009B224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000FF"/>
          <w:sz w:val="32"/>
          <w:szCs w:val="32"/>
        </w:rPr>
        <w:t>E</w:t>
      </w:r>
      <w:r w:rsidRPr="00022299">
        <w:rPr>
          <w:rFonts w:asciiTheme="majorBidi" w:hAnsiTheme="majorBidi" w:cstheme="majorBidi"/>
          <w:b/>
          <w:bCs/>
          <w:color w:val="0000FF"/>
          <w:sz w:val="32"/>
          <w:szCs w:val="32"/>
        </w:rPr>
        <w:t>valuation of therapeutic outcomes</w:t>
      </w:r>
    </w:p>
    <w:p w:rsidR="0045125D" w:rsidRPr="0045125D" w:rsidRDefault="009B224B" w:rsidP="009B224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Encourage patients to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obtain a home BP monitor, record the results, and bring them to follow-up clinic visits.</w:t>
      </w:r>
    </w:p>
    <w:p w:rsidR="009B224B" w:rsidRPr="004A73A6" w:rsidRDefault="009B224B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9B224B" w:rsidRDefault="009B224B" w:rsidP="009B224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Evaluate </w:t>
      </w:r>
      <w:r w:rsidR="0045125D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>BP response in the clinic 4 weeks after initiating or making changes in therapy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and compare the results to home BP readings. </w:t>
      </w:r>
    </w:p>
    <w:p w:rsidR="009B224B" w:rsidRPr="004A73A6" w:rsidRDefault="009B224B" w:rsidP="009B224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45125D" w:rsidRDefault="009B224B" w:rsidP="009B224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45125D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>Once goal</w:t>
      </w:r>
      <w:r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45125D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BP is obtained, monitor BP every 3–6 months,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assuming no signs or symptoms of acute end-organ damage. </w:t>
      </w:r>
      <w:r w:rsidR="0045125D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>Evaluate more frequently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in patients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with a history of poor control, nonadherence, progressive end-organ damage, or symptoms of adverse drug effects.</w:t>
      </w:r>
    </w:p>
    <w:p w:rsidR="009B224B" w:rsidRPr="004A73A6" w:rsidRDefault="009B224B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45125D" w:rsidRDefault="009B224B" w:rsidP="009B224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Automated BP monitoring can be useful to establish effective 24-hour control and confirm white coat or masked uncontrolled hypertension.</w:t>
      </w:r>
    </w:p>
    <w:p w:rsidR="009B224B" w:rsidRPr="004A73A6" w:rsidRDefault="009B224B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9B224B" w:rsidRDefault="009B224B" w:rsidP="009B224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45125D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>Monitor patients routinely for adverse drug events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, which may require dosage reduction or substitution with an alternative antihypertensive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agent. </w:t>
      </w:r>
    </w:p>
    <w:p w:rsidR="009B224B" w:rsidRPr="004A73A6" w:rsidRDefault="009B224B" w:rsidP="009B224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9B224B" w:rsidRDefault="009B224B" w:rsidP="009B224B">
      <w:pPr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A-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Perform laboratory monitoring </w:t>
      </w:r>
      <w:r w:rsidR="0045125D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>4 weeks after starting a new agent or dose increase, and then every 6–12 months in stable patients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9B224B" w:rsidRPr="004A73A6" w:rsidRDefault="009B224B" w:rsidP="004A73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45125D" w:rsidRDefault="009B224B" w:rsidP="004B2945">
      <w:pPr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B-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For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B2945">
        <w:rPr>
          <w:rFonts w:asciiTheme="majorBidi" w:hAnsiTheme="majorBidi" w:cstheme="majorBidi"/>
          <w:color w:val="333333"/>
          <w:sz w:val="28"/>
          <w:szCs w:val="28"/>
        </w:rPr>
        <w:t xml:space="preserve">patients treated with 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 xml:space="preserve">eplerenone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or </w:t>
      </w:r>
      <w:r w:rsidR="0045125D" w:rsidRPr="000746CE">
        <w:rPr>
          <w:rFonts w:asciiTheme="majorBidi" w:hAnsiTheme="majorBidi" w:cstheme="majorBidi"/>
          <w:color w:val="333333"/>
          <w:sz w:val="28"/>
          <w:szCs w:val="28"/>
        </w:rPr>
        <w:t>spironolactone</w:t>
      </w:r>
      <w:r w:rsidR="004B2945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>monitor potassium concentrations and kidney</w:t>
      </w:r>
      <w:r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45125D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>function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within 3 days of initiation and again at 1 week to detect potential hyperkalemia.</w:t>
      </w:r>
    </w:p>
    <w:p w:rsidR="004B2945" w:rsidRPr="004A73A6" w:rsidRDefault="004B2945" w:rsidP="009B224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B2945" w:rsidRDefault="009B224B" w:rsidP="004B294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6-</w:t>
      </w:r>
      <w:r w:rsidR="0045125D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>Monitor patients for signs and symptoms of hypertension-associated complications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45125D" w:rsidRPr="0045125D" w:rsidRDefault="004B2945" w:rsidP="004B2945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A-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Take a careful history for ischemic chest pain (or pressure),</w:t>
      </w:r>
      <w:r w:rsidR="009B224B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palpitations, dizziness, dyspnea, orthopnea, headache, sudden change in vision, one-sided weakness, slurred speech, and loss of balance.</w:t>
      </w:r>
    </w:p>
    <w:p w:rsidR="009B224B" w:rsidRPr="004A73A6" w:rsidRDefault="009B224B" w:rsidP="004A73A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45125D" w:rsidRDefault="004B2945" w:rsidP="004B2945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B</w:t>
      </w:r>
      <w:r w:rsidR="009B224B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Monitor </w:t>
      </w:r>
      <w:proofErr w:type="spellStart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funduscopic</w:t>
      </w:r>
      <w:proofErr w:type="spellEnd"/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changes on eye examination, LV hypertrophy on ECG, albuminuria, and changes in kidney function periodically.</w:t>
      </w:r>
    </w:p>
    <w:p w:rsidR="009B224B" w:rsidRPr="004A73A6" w:rsidRDefault="009B224B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Default="004B2945" w:rsidP="001467B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</w:t>
      </w:r>
      <w:r w:rsidR="009B224B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45125D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>Assess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B2945">
        <w:rPr>
          <w:rFonts w:asciiTheme="majorBidi" w:hAnsiTheme="majorBidi" w:cstheme="majorBidi"/>
          <w:b/>
          <w:bCs/>
          <w:color w:val="333333"/>
          <w:sz w:val="28"/>
          <w:szCs w:val="28"/>
        </w:rPr>
        <w:t>patient adherence with the regimen regularly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. Ask patients about changes in their general health perception, physical functioning, and</w:t>
      </w:r>
      <w:r w:rsidR="009B224B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45125D" w:rsidRPr="0045125D">
        <w:rPr>
          <w:rFonts w:asciiTheme="majorBidi" w:hAnsiTheme="majorBidi" w:cstheme="majorBidi"/>
          <w:color w:val="333333"/>
          <w:sz w:val="28"/>
          <w:szCs w:val="28"/>
        </w:rPr>
        <w:t>overall satisfaction with treatment.</w:t>
      </w:r>
    </w:p>
    <w:p w:rsidR="00B527DA" w:rsidRDefault="00B527DA" w:rsidP="00B527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B527DA" w:rsidRDefault="00B527DA" w:rsidP="00B527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B527DA" w:rsidRDefault="00B527DA" w:rsidP="00B527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B527DA">
        <w:rPr>
          <w:rFonts w:asciiTheme="majorBidi" w:hAnsiTheme="majorBidi" w:cstheme="majorBidi"/>
          <w:b/>
          <w:bCs/>
          <w:color w:val="FF0000"/>
          <w:sz w:val="28"/>
          <w:szCs w:val="28"/>
        </w:rPr>
        <w:t>Reference</w:t>
      </w:r>
    </w:p>
    <w:p w:rsidR="00B527DA" w:rsidRPr="00B527DA" w:rsidRDefault="00B527DA" w:rsidP="00B527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</w:rPr>
        <w:t>Joseph T. DiPiro, Robert L. Pharmacotherapy: A Pathophysiologic Approach,</w:t>
      </w:r>
    </w:p>
    <w:p w:rsidR="00B527DA" w:rsidRDefault="00B527DA" w:rsidP="00B527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</w:rPr>
        <w:t>11</w:t>
      </w: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</w:rPr>
        <w:t>Edition. 2021.</w:t>
      </w:r>
    </w:p>
    <w:p w:rsidR="00451705" w:rsidRDefault="00451705" w:rsidP="004517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451705" w:rsidRDefault="00451705" w:rsidP="004517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451705" w:rsidRDefault="00451705" w:rsidP="004517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451705" w:rsidRDefault="00451705" w:rsidP="004517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</w:p>
    <w:p w:rsidR="00451705" w:rsidRPr="00B527DA" w:rsidRDefault="00451705" w:rsidP="0045170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202124"/>
          <w:shd w:val="clear" w:color="auto" w:fill="FFFFFF"/>
        </w:rPr>
        <w:t>Atherosclerotic cardiovascular disease</w:t>
      </w:r>
      <w:r>
        <w:rPr>
          <w:rFonts w:ascii="Arial" w:hAnsi="Arial" w:cs="Arial"/>
          <w:color w:val="202124"/>
          <w:shd w:val="clear" w:color="auto" w:fill="FFFFFF"/>
        </w:rPr>
        <w:t> (ASCVD), defined as any myocardial infarction, any stroke, or death due to cardiovascular cause.</w:t>
      </w:r>
    </w:p>
    <w:sectPr w:rsidR="00451705" w:rsidRPr="00B527DA" w:rsidSect="0045125D">
      <w:footerReference w:type="default" r:id="rId9"/>
      <w:pgSz w:w="11906" w:h="16838"/>
      <w:pgMar w:top="426" w:right="707" w:bottom="993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00D" w:rsidRDefault="00DC200D" w:rsidP="009C79FE">
      <w:pPr>
        <w:spacing w:after="0" w:line="240" w:lineRule="auto"/>
      </w:pPr>
      <w:r>
        <w:separator/>
      </w:r>
    </w:p>
  </w:endnote>
  <w:endnote w:type="continuationSeparator" w:id="0">
    <w:p w:rsidR="00DC200D" w:rsidRDefault="00DC200D" w:rsidP="009C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218891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46CE" w:rsidRDefault="000746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F1C"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  <w:p w:rsidR="000746CE" w:rsidRDefault="000746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00D" w:rsidRDefault="00DC200D" w:rsidP="009C79FE">
      <w:pPr>
        <w:spacing w:after="0" w:line="240" w:lineRule="auto"/>
      </w:pPr>
      <w:r>
        <w:separator/>
      </w:r>
    </w:p>
  </w:footnote>
  <w:footnote w:type="continuationSeparator" w:id="0">
    <w:p w:rsidR="00DC200D" w:rsidRDefault="00DC200D" w:rsidP="009C7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D333B"/>
    <w:multiLevelType w:val="multilevel"/>
    <w:tmpl w:val="3E8A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85CA6"/>
    <w:multiLevelType w:val="multilevel"/>
    <w:tmpl w:val="22C4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53481"/>
    <w:multiLevelType w:val="multilevel"/>
    <w:tmpl w:val="D060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65938"/>
    <w:multiLevelType w:val="multilevel"/>
    <w:tmpl w:val="E572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B08D5"/>
    <w:multiLevelType w:val="multilevel"/>
    <w:tmpl w:val="288E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325B7"/>
    <w:multiLevelType w:val="multilevel"/>
    <w:tmpl w:val="504C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AA5C53"/>
    <w:multiLevelType w:val="hybridMultilevel"/>
    <w:tmpl w:val="59E8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C532D"/>
    <w:multiLevelType w:val="hybridMultilevel"/>
    <w:tmpl w:val="4A6C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928CC"/>
    <w:multiLevelType w:val="multilevel"/>
    <w:tmpl w:val="8466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D23984"/>
    <w:multiLevelType w:val="hybridMultilevel"/>
    <w:tmpl w:val="8992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C1"/>
    <w:rsid w:val="00022299"/>
    <w:rsid w:val="000746CE"/>
    <w:rsid w:val="00085EC1"/>
    <w:rsid w:val="000A39DD"/>
    <w:rsid w:val="000D6AAF"/>
    <w:rsid w:val="000F5D8E"/>
    <w:rsid w:val="00126BAA"/>
    <w:rsid w:val="001369C1"/>
    <w:rsid w:val="001467B2"/>
    <w:rsid w:val="0018108D"/>
    <w:rsid w:val="001835C9"/>
    <w:rsid w:val="001A0CEA"/>
    <w:rsid w:val="001A4491"/>
    <w:rsid w:val="001C7900"/>
    <w:rsid w:val="001E6AD2"/>
    <w:rsid w:val="001F3F9F"/>
    <w:rsid w:val="00202D23"/>
    <w:rsid w:val="0023109D"/>
    <w:rsid w:val="00240FC2"/>
    <w:rsid w:val="00293D7B"/>
    <w:rsid w:val="002A56DF"/>
    <w:rsid w:val="002F42C5"/>
    <w:rsid w:val="00307E17"/>
    <w:rsid w:val="00324617"/>
    <w:rsid w:val="00324E72"/>
    <w:rsid w:val="003310D9"/>
    <w:rsid w:val="00337A94"/>
    <w:rsid w:val="00347D77"/>
    <w:rsid w:val="00394517"/>
    <w:rsid w:val="003C1E95"/>
    <w:rsid w:val="003D563D"/>
    <w:rsid w:val="003F1A57"/>
    <w:rsid w:val="003F21B7"/>
    <w:rsid w:val="003F5F6F"/>
    <w:rsid w:val="003F7B07"/>
    <w:rsid w:val="00405882"/>
    <w:rsid w:val="00420C39"/>
    <w:rsid w:val="00423E59"/>
    <w:rsid w:val="00430B69"/>
    <w:rsid w:val="00432419"/>
    <w:rsid w:val="0045071B"/>
    <w:rsid w:val="0045125D"/>
    <w:rsid w:val="00451705"/>
    <w:rsid w:val="004722A3"/>
    <w:rsid w:val="004752B9"/>
    <w:rsid w:val="0048401C"/>
    <w:rsid w:val="00487060"/>
    <w:rsid w:val="004A73A6"/>
    <w:rsid w:val="004B2945"/>
    <w:rsid w:val="004B6F1E"/>
    <w:rsid w:val="004E1DCC"/>
    <w:rsid w:val="00516926"/>
    <w:rsid w:val="005627C5"/>
    <w:rsid w:val="00583888"/>
    <w:rsid w:val="005C3F80"/>
    <w:rsid w:val="005D1A07"/>
    <w:rsid w:val="005D3E7B"/>
    <w:rsid w:val="0063410E"/>
    <w:rsid w:val="0065062A"/>
    <w:rsid w:val="00653546"/>
    <w:rsid w:val="00655FED"/>
    <w:rsid w:val="00660CED"/>
    <w:rsid w:val="00690A20"/>
    <w:rsid w:val="006D0591"/>
    <w:rsid w:val="00701BAE"/>
    <w:rsid w:val="00721505"/>
    <w:rsid w:val="00722F1C"/>
    <w:rsid w:val="007404A7"/>
    <w:rsid w:val="00741490"/>
    <w:rsid w:val="00747F03"/>
    <w:rsid w:val="00761A5B"/>
    <w:rsid w:val="007621C3"/>
    <w:rsid w:val="00773A31"/>
    <w:rsid w:val="007A0A8A"/>
    <w:rsid w:val="007B6004"/>
    <w:rsid w:val="007E68A8"/>
    <w:rsid w:val="007F19A1"/>
    <w:rsid w:val="00804049"/>
    <w:rsid w:val="00804825"/>
    <w:rsid w:val="008B4BC1"/>
    <w:rsid w:val="008D2536"/>
    <w:rsid w:val="008D5E15"/>
    <w:rsid w:val="008D7966"/>
    <w:rsid w:val="008E28D7"/>
    <w:rsid w:val="00926008"/>
    <w:rsid w:val="009608D6"/>
    <w:rsid w:val="00987645"/>
    <w:rsid w:val="009B0D47"/>
    <w:rsid w:val="009B224B"/>
    <w:rsid w:val="009C4D71"/>
    <w:rsid w:val="009C79FE"/>
    <w:rsid w:val="009D31BD"/>
    <w:rsid w:val="009E60CC"/>
    <w:rsid w:val="00A07CCC"/>
    <w:rsid w:val="00A26085"/>
    <w:rsid w:val="00A4401F"/>
    <w:rsid w:val="00A5155A"/>
    <w:rsid w:val="00A532FE"/>
    <w:rsid w:val="00A7600B"/>
    <w:rsid w:val="00A8009A"/>
    <w:rsid w:val="00A83FB6"/>
    <w:rsid w:val="00A966DA"/>
    <w:rsid w:val="00A969AE"/>
    <w:rsid w:val="00AB66BE"/>
    <w:rsid w:val="00AD10F0"/>
    <w:rsid w:val="00AD3BD4"/>
    <w:rsid w:val="00AD761C"/>
    <w:rsid w:val="00AE1E84"/>
    <w:rsid w:val="00B17CB0"/>
    <w:rsid w:val="00B503F7"/>
    <w:rsid w:val="00B527DA"/>
    <w:rsid w:val="00B75789"/>
    <w:rsid w:val="00B834B0"/>
    <w:rsid w:val="00B94318"/>
    <w:rsid w:val="00BD69C4"/>
    <w:rsid w:val="00BE6797"/>
    <w:rsid w:val="00BF062B"/>
    <w:rsid w:val="00C2374F"/>
    <w:rsid w:val="00C3347D"/>
    <w:rsid w:val="00C35779"/>
    <w:rsid w:val="00C75F21"/>
    <w:rsid w:val="00CB0602"/>
    <w:rsid w:val="00CD0420"/>
    <w:rsid w:val="00D06001"/>
    <w:rsid w:val="00D06DBA"/>
    <w:rsid w:val="00D16FD5"/>
    <w:rsid w:val="00D35FDB"/>
    <w:rsid w:val="00D4331A"/>
    <w:rsid w:val="00D85713"/>
    <w:rsid w:val="00DA6BB8"/>
    <w:rsid w:val="00DC200D"/>
    <w:rsid w:val="00DD24DE"/>
    <w:rsid w:val="00DD3B5C"/>
    <w:rsid w:val="00DD3E17"/>
    <w:rsid w:val="00DD4C24"/>
    <w:rsid w:val="00E0566E"/>
    <w:rsid w:val="00E05705"/>
    <w:rsid w:val="00E407F9"/>
    <w:rsid w:val="00E67F14"/>
    <w:rsid w:val="00E7219D"/>
    <w:rsid w:val="00E90342"/>
    <w:rsid w:val="00EA27D9"/>
    <w:rsid w:val="00EA3500"/>
    <w:rsid w:val="00EB0B76"/>
    <w:rsid w:val="00EB1305"/>
    <w:rsid w:val="00F00195"/>
    <w:rsid w:val="00F0769C"/>
    <w:rsid w:val="00F27D50"/>
    <w:rsid w:val="00F51847"/>
    <w:rsid w:val="00F73EC3"/>
    <w:rsid w:val="00FA2811"/>
    <w:rsid w:val="00FC7499"/>
    <w:rsid w:val="00FD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4875CB-0C3D-4F56-B37B-9719FF8D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9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9FE"/>
    <w:rPr>
      <w:color w:val="800080"/>
      <w:u w:val="single"/>
    </w:rPr>
  </w:style>
  <w:style w:type="paragraph" w:customStyle="1" w:styleId="disclosurelink">
    <w:name w:val="disclosurelink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9C79FE"/>
  </w:style>
  <w:style w:type="paragraph" w:customStyle="1" w:styleId="headinganchor">
    <w:name w:val="headinganchor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">
    <w:name w:val="h1"/>
    <w:basedOn w:val="DefaultParagraphFont"/>
    <w:rsid w:val="009C79FE"/>
  </w:style>
  <w:style w:type="character" w:customStyle="1" w:styleId="headingendmark">
    <w:name w:val="headingendmark"/>
    <w:basedOn w:val="DefaultParagraphFont"/>
    <w:rsid w:val="009C79FE"/>
  </w:style>
  <w:style w:type="paragraph" w:styleId="NormalWeb">
    <w:name w:val="Normal (Web)"/>
    <w:basedOn w:val="Normal"/>
    <w:uiPriority w:val="99"/>
    <w:semiHidden/>
    <w:unhideWhenUsed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9C79FE"/>
  </w:style>
  <w:style w:type="character" w:customStyle="1" w:styleId="nowrap">
    <w:name w:val="nowrap"/>
    <w:basedOn w:val="DefaultParagraphFont"/>
    <w:rsid w:val="009C79FE"/>
  </w:style>
  <w:style w:type="paragraph" w:customStyle="1" w:styleId="bulletindent1">
    <w:name w:val="bulletindent1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9C79FE"/>
  </w:style>
  <w:style w:type="paragraph" w:customStyle="1" w:styleId="bulletindent2">
    <w:name w:val="bulletindent2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3">
    <w:name w:val="h3"/>
    <w:basedOn w:val="DefaultParagraphFont"/>
    <w:rsid w:val="009C79FE"/>
  </w:style>
  <w:style w:type="character" w:styleId="Strong">
    <w:name w:val="Strong"/>
    <w:basedOn w:val="DefaultParagraphFont"/>
    <w:uiPriority w:val="22"/>
    <w:qFormat/>
    <w:rsid w:val="009C79FE"/>
    <w:rPr>
      <w:b/>
      <w:bCs/>
    </w:rPr>
  </w:style>
  <w:style w:type="character" w:customStyle="1" w:styleId="h4">
    <w:name w:val="h4"/>
    <w:basedOn w:val="DefaultParagraphFont"/>
    <w:rsid w:val="009C79FE"/>
  </w:style>
  <w:style w:type="paragraph" w:customStyle="1" w:styleId="bulletindent3">
    <w:name w:val="bulletindent3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FE"/>
  </w:style>
  <w:style w:type="paragraph" w:styleId="Footer">
    <w:name w:val="footer"/>
    <w:basedOn w:val="Normal"/>
    <w:link w:val="Foot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FE"/>
  </w:style>
  <w:style w:type="paragraph" w:styleId="BalloonText">
    <w:name w:val="Balloon Text"/>
    <w:basedOn w:val="Normal"/>
    <w:link w:val="BalloonTextChar"/>
    <w:uiPriority w:val="99"/>
    <w:semiHidden/>
    <w:unhideWhenUsed/>
    <w:rsid w:val="00B8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phasis2">
    <w:name w:val="Emphasis2"/>
    <w:basedOn w:val="DefaultParagraphFont"/>
    <w:rsid w:val="00D85713"/>
  </w:style>
  <w:style w:type="paragraph" w:styleId="ListParagraph">
    <w:name w:val="List Paragraph"/>
    <w:basedOn w:val="Normal"/>
    <w:uiPriority w:val="34"/>
    <w:qFormat/>
    <w:rsid w:val="001C7900"/>
    <w:pPr>
      <w:ind w:left="720"/>
      <w:contextualSpacing/>
    </w:pPr>
  </w:style>
  <w:style w:type="paragraph" w:customStyle="1" w:styleId="Default">
    <w:name w:val="Default"/>
    <w:rsid w:val="00A96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002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332729322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416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6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421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328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8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7975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9905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2283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1063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8685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775516675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403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3959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2047901227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5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5869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155344113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422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9012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344865304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764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CD110-2122-446D-B6EF-1B692778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4205</Words>
  <Characters>23972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HP HADEEL</cp:lastModifiedBy>
  <cp:revision>24</cp:revision>
  <dcterms:created xsi:type="dcterms:W3CDTF">2020-05-04T12:27:00Z</dcterms:created>
  <dcterms:modified xsi:type="dcterms:W3CDTF">2023-02-15T06:16:00Z</dcterms:modified>
</cp:coreProperties>
</file>