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DE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  <w:r w:rsidRPr="00C350FE">
        <w:rPr>
          <w:rFonts w:asciiTheme="majorBidi" w:hAnsiTheme="majorBidi" w:cstheme="majorBidi"/>
          <w:b/>
          <w:bCs/>
          <w:sz w:val="28"/>
          <w:szCs w:val="28"/>
        </w:rPr>
        <w:t>Privacy and Surveillance Concerns d) AI’s Threat to Personal Privacy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350F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تهديد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الشخصية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تستخدم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الحكومات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للتعرف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الوجوه،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الائتمان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والشرطة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التنبؤية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العفو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استغلال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يتتبع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الإعلان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يعتمد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السلوك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عبر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الإنترنت،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الموافقة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lang w:bidi="ar"/>
        </w:rPr>
        <w:t>Zuboff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المعضلات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الموافقة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غالبًا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يقدم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المستخدمون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علمهم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التسلل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الوظيفي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جمعها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لغرض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واحد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لاحقًا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لأسباب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الاستجابات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اللائحة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لحماية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): </w:t>
      </w:r>
      <w:r>
        <w:rPr>
          <w:rFonts w:asciiTheme="majorBidi" w:hAnsiTheme="majorBidi" w:cs="Times New Roman"/>
          <w:sz w:val="28"/>
          <w:szCs w:val="28"/>
          <w:rtl/>
        </w:rPr>
        <w:t>تتطلب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موافقة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صريحة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يحظر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التعرف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الوجه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الوقت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الفعلي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الأماكن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القوانين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الأمريكية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المقترحة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الخوارزمية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يفرض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تقييمات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Pr="009F1430" w:rsidRDefault="002409DE" w:rsidP="002409D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1430">
        <w:rPr>
          <w:rFonts w:asciiTheme="majorBidi" w:hAnsiTheme="majorBidi" w:cstheme="majorBidi"/>
          <w:b/>
          <w:bCs/>
          <w:sz w:val="28"/>
          <w:szCs w:val="28"/>
        </w:rPr>
        <w:t xml:space="preserve">Accountability and Transparency in AI Decisions e) The “Black Box” Problem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مشكلة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"</w:t>
      </w:r>
      <w:r>
        <w:rPr>
          <w:rFonts w:asciiTheme="majorBidi" w:hAnsiTheme="majorBidi" w:cs="Times New Roman"/>
          <w:sz w:val="28"/>
          <w:szCs w:val="28"/>
          <w:rtl/>
        </w:rPr>
        <w:t>الصندوق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الأسود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"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إن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العديد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نماذج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شفافة،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يجعل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الصعب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تفسير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يرفض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طلب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- </w:t>
      </w:r>
      <w:r>
        <w:rPr>
          <w:rFonts w:asciiTheme="majorBidi" w:hAnsiTheme="majorBidi" w:cs="Times New Roman"/>
          <w:sz w:val="28"/>
          <w:szCs w:val="28"/>
          <w:rtl/>
        </w:rPr>
        <w:t>هل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للبنك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يوضح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السبب؟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حوادث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المركبات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-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المسؤول؟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القانونية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والأخلاقية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المؤسسية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هل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يجب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محاسبة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أخطاء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الاصطناعي؟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حوادث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تسلا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للتفسير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XAI):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نماذج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قابلة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للتفسير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DARPA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الحلول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الحق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التوضيح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يمنح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حماية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المستخدمين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معرفة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كيفية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اتخاذ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مسارات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التدقيق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تسجيل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اتخاذ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الخاصة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2409DE" w:rsidRPr="005A3160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and Job Displacement f) The Automation Threat </w:t>
      </w:r>
      <w:r w:rsidRPr="005A3160">
        <w:rPr>
          <w:rFonts w:asciiTheme="majorBidi" w:hAnsiTheme="majorBidi" w:cs="Times New Roman"/>
          <w:sz w:val="28"/>
          <w:szCs w:val="28"/>
          <w:rtl/>
        </w:rPr>
        <w:t>الذكاء</w:t>
      </w: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Pr="005A3160">
        <w:rPr>
          <w:rFonts w:asciiTheme="majorBidi" w:hAnsiTheme="majorBidi" w:cs="Times New Roman"/>
          <w:sz w:val="28"/>
          <w:szCs w:val="28"/>
          <w:rtl/>
        </w:rPr>
        <w:t>الاصطناعي</w:t>
      </w: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Pr="005A3160">
        <w:rPr>
          <w:rFonts w:asciiTheme="majorBidi" w:hAnsiTheme="majorBidi" w:cs="Times New Roman"/>
          <w:sz w:val="28"/>
          <w:szCs w:val="28"/>
          <w:rtl/>
        </w:rPr>
        <w:t>واستبدال</w:t>
      </w: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Pr="005A3160">
        <w:rPr>
          <w:rFonts w:asciiTheme="majorBidi" w:hAnsiTheme="majorBidi" w:cs="Times New Roman"/>
          <w:sz w:val="28"/>
          <w:szCs w:val="28"/>
          <w:rtl/>
        </w:rPr>
        <w:t>الوظائف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Pr="005A3160">
        <w:rPr>
          <w:rFonts w:asciiTheme="majorBidi" w:hAnsiTheme="majorBidi" w:cs="Times New Roman" w:hint="cs"/>
          <w:sz w:val="28"/>
          <w:szCs w:val="28"/>
          <w:rtl/>
        </w:rPr>
        <w:t>أ</w:t>
      </w: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 w:rsidRPr="005A3160">
        <w:rPr>
          <w:rFonts w:asciiTheme="majorBidi" w:hAnsiTheme="majorBidi" w:cs="Times New Roman"/>
          <w:sz w:val="28"/>
          <w:szCs w:val="28"/>
          <w:rtl/>
        </w:rPr>
        <w:t>تهديد</w:t>
      </w:r>
      <w:r w:rsidRPr="005A3160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Pr="005A3160">
        <w:rPr>
          <w:rFonts w:asciiTheme="majorBidi" w:hAnsiTheme="majorBidi" w:cs="Times New Roman"/>
          <w:sz w:val="28"/>
          <w:szCs w:val="28"/>
          <w:rtl/>
        </w:rPr>
        <w:t>الأتمتة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تشير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تقديرات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ماكينزي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أتمتة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30%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بحلول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2030.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الأكثر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عرضة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للخطر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المتكررة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التصنيع،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العملاء،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الشاحنات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الاعتبارات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عدم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المساواة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تستفيد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التكنولوجيا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إزاحة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ذوي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المهارات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المنخفضة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إعادة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التدريب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يفتقر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القدرة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الوصول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التدريب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الحلول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السياسية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UBI):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أظهرت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التجارب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فنلندا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انخفاض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مستويات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التوتر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المستفيدين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ضريبة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يقترح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جيتس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فرض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ضرائب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Pr="00EB23A7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 w:rsidRPr="009F1430">
        <w:rPr>
          <w:rFonts w:asciiTheme="majorBidi" w:hAnsiTheme="majorBidi" w:cstheme="majorBidi"/>
          <w:b/>
          <w:bCs/>
          <w:sz w:val="28"/>
          <w:szCs w:val="28"/>
        </w:rPr>
        <w:t xml:space="preserve">Autonomous Weapons and AI in Warfare g) The Rise of Lethal AI Systems </w:t>
      </w:r>
      <w:r>
        <w:rPr>
          <w:rFonts w:asciiTheme="majorBidi" w:hAnsiTheme="majorBidi" w:cs="Times New Roman"/>
          <w:sz w:val="28"/>
          <w:szCs w:val="28"/>
          <w:rtl/>
        </w:rPr>
        <w:t>الأسلحة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التشغيل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الحرب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صعود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القاتلة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تستطيع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الطائرات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طيار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التشغيل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طائرة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كارجو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-</w:t>
      </w:r>
      <w:r>
        <w:rPr>
          <w:rFonts w:asciiTheme="majorBidi" w:hAnsiTheme="majorBidi" w:cs="Times New Roman"/>
          <w:sz w:val="28"/>
          <w:szCs w:val="28"/>
          <w:rtl/>
        </w:rPr>
        <w:t>2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التركية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تحديد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الأهداف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ومهاجمتها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تقرير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السيبرانية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القرصنة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تزيد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الهجمات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واسعة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النطاق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الافتقار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الحكم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لا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تستطيع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تقييم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التناسب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فجوة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إذا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ارتكب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سلاح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جريمة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حرب؟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الحاجة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لوائح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عالمية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حملة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لوقف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القاتلة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الدعوة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معاهدة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تحظر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الأسلحة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المستقلة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مناقشات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مناقشات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مستمرة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لوائح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</w:p>
    <w:p w:rsidR="002409DE" w:rsidRPr="009F1430" w:rsidRDefault="002409DE" w:rsidP="002409DE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F1430">
        <w:rPr>
          <w:rFonts w:asciiTheme="majorBidi" w:hAnsiTheme="majorBidi" w:cstheme="majorBidi"/>
          <w:b/>
          <w:bCs/>
          <w:sz w:val="28"/>
          <w:szCs w:val="28"/>
        </w:rPr>
        <w:t xml:space="preserve">AI-Generated Misinformation and Deepfakes h) The Spread of Synthetic Media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="Times New Roman"/>
          <w:sz w:val="28"/>
          <w:szCs w:val="28"/>
          <w:rtl/>
        </w:rPr>
        <w:t>المعلومات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المضللة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المُولّدة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والتزييف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العميق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انتشار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الوسائط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المُصنّعة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مقاطع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الفيديو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المزيفة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الخطب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المزيفة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تتلاعب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بالرأي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الأخبار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المزيفة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الدردشة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ChatGPT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إنتاج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معلومات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مضللة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نطاق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واسع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التأثير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تآكل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الثقة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يشك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الناس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الأدلة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الحقيقية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"</w:t>
      </w:r>
      <w:r>
        <w:rPr>
          <w:rFonts w:asciiTheme="majorBidi" w:hAnsiTheme="majorBidi" w:cs="Times New Roman"/>
          <w:sz w:val="28"/>
          <w:szCs w:val="28"/>
          <w:rtl/>
        </w:rPr>
        <w:t>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الحقيقة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").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عدم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الاستقرار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يؤثر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الانتخابات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التدابير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المضادة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مبادرة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التحقق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Adobe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بوضع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علامات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الوسائط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العقوبات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القانونية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القوانين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المقترحة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لتجريم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التزييفات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العميقة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</w:rPr>
        <w:t>الضارة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.</w:t>
      </w:r>
      <w:proofErr w:type="gramEnd"/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Pr="00EB23A7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409DE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Conclusion: Toward Ethical AI Development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استنتاجات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نحو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تتطلب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حلولاً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متعددة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التخصصات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="Segoe UI Symbol" w:hAnsi="Segoe UI Symbol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لوائح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أقوى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الخوارزمية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الولايات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).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المؤسسية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عمليات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وتقارير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).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="Segoe UI Symbol" w:hAnsi="Segoe UI Symbol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والتثقيف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يجب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يحقق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التوازن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الابتكار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والأخلاق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التكنولوجيا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للبشرية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عادل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1430">
        <w:rPr>
          <w:rFonts w:asciiTheme="majorBidi" w:hAnsiTheme="majorBidi" w:cstheme="majorBidi"/>
          <w:b/>
          <w:bCs/>
          <w:sz w:val="28"/>
          <w:szCs w:val="28"/>
        </w:rPr>
        <w:t xml:space="preserve">The future of AI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تطور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مفهوم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نظري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دافعة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تُعيد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تشكيل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الصناعات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والاقتصادات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والحياة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اليومية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ومع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تسارع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التطورات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والشبكات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العصبية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والحوسبة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الكمومية،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يَعِد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بفرص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مسبوقة،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جانب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ومجتمعية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جسيمة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تستكشف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هذه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المحاضرة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الاتجاهات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والاختراقات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المستقبلية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المحتملة،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وتداعياتها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التطورات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تقنيات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الصناعة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والوجودية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والسياسية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العقد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التوقعات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والاحتمالات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الخاتمة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رسم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مُثمر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Pr="009F1430" w:rsidRDefault="002409DE" w:rsidP="002409D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409DE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  <w:r w:rsidRPr="009F1430">
        <w:rPr>
          <w:rFonts w:asciiTheme="majorBidi" w:hAnsiTheme="majorBidi" w:cstheme="majorBidi"/>
          <w:b/>
          <w:bCs/>
          <w:sz w:val="28"/>
          <w:szCs w:val="28"/>
        </w:rPr>
        <w:t xml:space="preserve"> Advances in AI Technologies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الضيق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AGI)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الحالي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الضيق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): </w:t>
      </w:r>
      <w:r>
        <w:rPr>
          <w:rFonts w:asciiTheme="majorBidi" w:hAnsiTheme="majorBidi" w:cs="Times New Roman"/>
          <w:sz w:val="28"/>
          <w:szCs w:val="28"/>
          <w:rtl/>
        </w:rPr>
        <w:t>يتفوق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مهام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محددة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التعرف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الصور،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</w:rPr>
        <w:t>الدردشة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AGI):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يتمتع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بتفكير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وقدرة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تُشبه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قدرات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التوقعات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يتوقع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الخبراء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ظهور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٢٠٣٠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و٢٠٦٠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lang w:bidi="ar"/>
        </w:rPr>
        <w:t>OpenAI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٢٠٢٤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).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يتطلب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كبير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المعرفية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</w:rPr>
        <w:t>الذاتي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.</w:t>
      </w:r>
      <w:proofErr w:type="gramEnd"/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تُسرّع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الحوسبة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الكمومية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تدريب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وتحسينه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كبير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تفوق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جوجل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2023):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حلّت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مشكلةً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ثوانٍ،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تستغرق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الحواسيب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الكلاسيكية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سنواتٍ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لحلّها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التطبيقات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اكتشاف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الأدوية،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والتشفير،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ونمذجة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المناخ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Nature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الحوسبة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العصبية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تُمكّن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شرائح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تُحاكي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الدماغ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شريحة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Loihi 2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إنتل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التعلّم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أسرع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وأكثر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كفاءة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• </w:t>
      </w:r>
      <w:r>
        <w:rPr>
          <w:rFonts w:asciiTheme="majorBidi" w:hAnsiTheme="majorBidi" w:cs="Times New Roman"/>
          <w:sz w:val="28"/>
          <w:szCs w:val="28"/>
          <w:rtl/>
        </w:rPr>
        <w:t>الإمكانات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اتخاذ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آنية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التشغيل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lastRenderedPageBreak/>
        <w:t xml:space="preserve"> </w:t>
      </w:r>
    </w:p>
    <w:p w:rsidR="002409DE" w:rsidRPr="003C5FE5" w:rsidRDefault="002409DE" w:rsidP="002409D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5FE5">
        <w:rPr>
          <w:rFonts w:asciiTheme="majorBidi" w:hAnsiTheme="majorBidi" w:cstheme="majorBidi"/>
          <w:b/>
          <w:bCs/>
          <w:sz w:val="28"/>
          <w:szCs w:val="28"/>
        </w:rPr>
        <w:t xml:space="preserve">AI in Industry and Society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ثورة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الطب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الشخصي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بتحليل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الجينية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لتخصيص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العلاجات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rtl/>
        </w:rPr>
        <w:t>توبول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أطباء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للمساعدين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الافتراضيين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تشخيص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الأمراض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ووصفها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أبحاث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المؤشرات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الحيوية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للشيخوخة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تعتمد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إطالة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MIT Tech Review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تعطيل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مقابل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خلقها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المعرضون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للخطر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الروتينية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السائقون،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الموظفون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lang w:bidi="ar"/>
        </w:rPr>
        <w:t>o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فرص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جديدة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مدربي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وخبراء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ومديري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التعاون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المنتدى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UBI):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يصبح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ضروريًا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لتعويض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فقدان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جيتس،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المناخ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والاستدامة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شبكات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الطاقة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تحسين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توزيع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الطاقة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المتجددة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وكالة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الطاقة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احتجاز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الكربون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تتنبأ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نماذج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بأفضل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الطرق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لتقليل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الانبعاثات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Nature Climate Change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Pr="00EB23A7" w:rsidRDefault="002409DE" w:rsidP="002409DE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 </w:t>
      </w:r>
    </w:p>
    <w:p w:rsidR="002409DE" w:rsidRPr="003C5FE5" w:rsidRDefault="002409DE" w:rsidP="002409DE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C5FE5">
        <w:rPr>
          <w:rFonts w:asciiTheme="majorBidi" w:hAnsiTheme="majorBidi" w:cstheme="majorBidi"/>
          <w:b/>
          <w:bCs/>
          <w:sz w:val="28"/>
          <w:szCs w:val="28"/>
        </w:rPr>
        <w:t xml:space="preserve">Ethical and Existential Risks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والوجودية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الفائق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والسيطرة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مشكلة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محاذاة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توافق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أهداف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rtl/>
        </w:rPr>
        <w:t>بوستروم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الوجودية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الخاضع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للسيطرة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يتجاوز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عواقب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مقصودة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وعدم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المساواة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الانقسامات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إذا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تنظيمه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صحيح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lang w:bidi="ar"/>
        </w:rPr>
        <w:t>Mehrabi</w:t>
      </w:r>
      <w:proofErr w:type="gramEnd"/>
      <w:r>
        <w:rPr>
          <w:rFonts w:asciiTheme="majorBidi" w:hAnsiTheme="majorBidi" w:cs="Times New Roman"/>
          <w:sz w:val="28"/>
          <w:szCs w:val="28"/>
          <w:lang w:bidi="ar"/>
        </w:rPr>
        <w:t xml:space="preserve"> et al.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الفجوة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الرقمية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تحتكر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الغنية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فوائد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الأسلحة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المستقلة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الطائرات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طيار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المدعومة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يمكنها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اتخاذ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مميتة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إشراف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الأمم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سباق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التسلح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تتنافس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الهيمنة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العسكرية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مؤسسة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راند،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 w:rsidRPr="003C5FE5">
        <w:rPr>
          <w:rFonts w:asciiTheme="majorBidi" w:hAnsiTheme="majorBidi" w:cstheme="majorBidi"/>
          <w:b/>
          <w:bCs/>
          <w:sz w:val="28"/>
          <w:szCs w:val="28"/>
        </w:rPr>
        <w:t xml:space="preserve">Regulatory and Policy Challenges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والسياسية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جهود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حوكمة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الحالية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يصنف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ويحظر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التطبيقات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الضارة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التسجيل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حقوق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الولايات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2023):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يركز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العدالة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المبادئ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التوجيهية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توازن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الابتكار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وسيطرة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الحاجة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التعاون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المعاهدات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لمنع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سوء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المفتوح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مقابل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المغلق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lang w:bidi="ar"/>
        </w:rPr>
        <w:t>o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مفتوح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المصدر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Meta's Llama):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يعزز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ولكنه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يحمل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إساءة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lang w:bidi="ar"/>
        </w:rPr>
        <w:t>o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المغلق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GPT-5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OpenAI )</w:t>
      </w:r>
      <w:proofErr w:type="gramEnd"/>
      <w:r>
        <w:rPr>
          <w:rFonts w:asciiTheme="majorBidi" w:hAnsiTheme="majorBidi" w:cs="Times New Roman"/>
          <w:sz w:val="28"/>
          <w:szCs w:val="28"/>
          <w:lang w:bidi="ar"/>
        </w:rPr>
        <w:t>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التحكم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ولكن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أقل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683E28">
        <w:rPr>
          <w:rFonts w:asciiTheme="majorBidi" w:hAnsiTheme="majorBidi" w:cstheme="majorBidi"/>
          <w:b/>
          <w:bCs/>
          <w:sz w:val="28"/>
          <w:szCs w:val="28"/>
        </w:rPr>
        <w:t xml:space="preserve">The Next Decade: Predictions and Possibilities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التوقعات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والاحتمالات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2025-2030: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يصبح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مكان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مساعدو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وكلاء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شخصيون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مستقلون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بالكامل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يديرون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الجداول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الزمنية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والصحة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والمالية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أصبحت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الأفلام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والموسيقى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والكتب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سائدة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2030-2040: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التعايش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واجهات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الدماغ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والحاسوب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BCIs):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Neuralink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التابعة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لإيلون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ماسك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أخرى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بدمج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الإدراك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الإبداع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المعزز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يستخدم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الفنانون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والعلماء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لتعزيز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الابتكار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2040: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عصر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السيناريوهات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المحتملة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lang w:bidi="ar"/>
        </w:rPr>
        <w:t>o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الطوباوي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يحل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الأمراض،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الفقر،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المناخ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lang w:bidi="ar"/>
        </w:rPr>
        <w:t>o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ديستوبي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البطالة،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فقدان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الاستقلال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هيمنة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Pr="005A3160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:rsidR="002409DE" w:rsidRDefault="002409DE" w:rsidP="002409DE">
      <w:pPr>
        <w:bidi/>
        <w:jc w:val="right"/>
        <w:rPr>
          <w:rFonts w:asciiTheme="majorBidi" w:hAnsiTheme="majorBidi" w:cs="Times New Roman"/>
          <w:sz w:val="28"/>
          <w:szCs w:val="28"/>
          <w:rtl/>
        </w:rPr>
      </w:pPr>
      <w:r w:rsidRPr="00683E28">
        <w:rPr>
          <w:rFonts w:asciiTheme="majorBidi" w:hAnsiTheme="majorBidi" w:cstheme="majorBidi"/>
          <w:b/>
          <w:bCs/>
          <w:sz w:val="28"/>
          <w:szCs w:val="28"/>
        </w:rPr>
        <w:t xml:space="preserve">Conclusion: Shaping a Beneficial AI Future 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الخاتمة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بناء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مستقبلٍ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مُثمرٍ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يعتمد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الابتكار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والحوكمة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والمشاركة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تشمل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الخطوات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="Segoe UI Symbol" w:hAnsi="Segoe UI Symbol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الاستثمار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أبحاث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سلامة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="Segoe UI Symbol" w:hAnsi="Segoe UI Symbol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تطبيق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لوائح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عادلة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وشفافة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="Segoe UI Symbol" w:hAnsi="Segoe UI Symbol" w:cs="Segoe UI Symbol" w:hint="cs"/>
          <w:sz w:val="28"/>
          <w:szCs w:val="28"/>
          <w:rtl/>
          <w:lang w:bidi="ar"/>
        </w:rPr>
        <w:t>✔</w:t>
      </w:r>
      <w:r>
        <w:rPr>
          <w:rFonts w:ascii="Segoe UI Symbol" w:hAnsi="Segoe UI Symbol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تعزيز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التعاون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لمنع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إساءة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إن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إمكانات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حدود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- </w:t>
      </w:r>
      <w:r>
        <w:rPr>
          <w:rFonts w:asciiTheme="majorBidi" w:hAnsiTheme="majorBidi" w:cs="Times New Roman"/>
          <w:sz w:val="28"/>
          <w:szCs w:val="28"/>
          <w:rtl/>
        </w:rPr>
        <w:t>ولكن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يجب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بحكمة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:rsidR="002409DE" w:rsidRDefault="002409DE" w:rsidP="002409DE">
      <w:pPr>
        <w:jc w:val="both"/>
        <w:rPr>
          <w:rFonts w:cs="Calibri"/>
          <w:rtl/>
          <w:lang w:bidi="ar"/>
        </w:rPr>
      </w:pPr>
    </w:p>
    <w:p w:rsidR="002409DE" w:rsidRDefault="002409DE" w:rsidP="002409DE">
      <w:pPr>
        <w:jc w:val="both"/>
        <w:rPr>
          <w:lang w:bidi="ar"/>
        </w:rPr>
      </w:pPr>
    </w:p>
    <w:p w:rsidR="00B50364" w:rsidRDefault="00B50364" w:rsidP="002409DE">
      <w:pPr>
        <w:jc w:val="right"/>
        <w:rPr>
          <w:lang w:bidi="ar-IQ"/>
        </w:rPr>
      </w:pPr>
      <w:bookmarkStart w:id="0" w:name="_GoBack"/>
      <w:bookmarkEnd w:id="0"/>
    </w:p>
    <w:sectPr w:rsidR="00B50364">
      <w:footerReference w:type="default" r:id="rId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421824"/>
      <w:docPartObj>
        <w:docPartGallery w:val="Page Numbers (Bottom of Page)"/>
        <w:docPartUnique/>
      </w:docPartObj>
    </w:sdtPr>
    <w:sdtEndPr/>
    <w:sdtContent>
      <w:p w:rsidR="00EA060E" w:rsidRDefault="002409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09DE">
          <w:rPr>
            <w:rFonts w:cs="Calibri"/>
            <w:noProof/>
            <w:lang w:val="ar-SA"/>
          </w:rPr>
          <w:t>7</w:t>
        </w:r>
        <w:r>
          <w:fldChar w:fldCharType="end"/>
        </w:r>
      </w:p>
    </w:sdtContent>
  </w:sdt>
  <w:p w:rsidR="00EA060E" w:rsidRDefault="002409DE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4129"/>
    <w:multiLevelType w:val="hybridMultilevel"/>
    <w:tmpl w:val="FC920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6A1E"/>
    <w:multiLevelType w:val="hybridMultilevel"/>
    <w:tmpl w:val="9F1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36E"/>
    <w:multiLevelType w:val="hybridMultilevel"/>
    <w:tmpl w:val="2BB0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67121"/>
    <w:multiLevelType w:val="hybridMultilevel"/>
    <w:tmpl w:val="9A0C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C18"/>
    <w:multiLevelType w:val="hybridMultilevel"/>
    <w:tmpl w:val="DEE4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E5A17"/>
    <w:multiLevelType w:val="hybridMultilevel"/>
    <w:tmpl w:val="2E5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477C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3F6B"/>
    <w:multiLevelType w:val="hybridMultilevel"/>
    <w:tmpl w:val="4594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14102"/>
    <w:multiLevelType w:val="hybridMultilevel"/>
    <w:tmpl w:val="70F4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C1"/>
    <w:rsid w:val="002409DE"/>
    <w:rsid w:val="00273AC1"/>
    <w:rsid w:val="00B50364"/>
    <w:rsid w:val="00C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449E76-D0CF-4479-975E-345F0AA3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DE"/>
  </w:style>
  <w:style w:type="paragraph" w:styleId="1">
    <w:name w:val="heading 1"/>
    <w:basedOn w:val="a"/>
    <w:next w:val="a"/>
    <w:link w:val="1Char"/>
    <w:uiPriority w:val="9"/>
    <w:qFormat/>
    <w:rsid w:val="0024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09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09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409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09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409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409DE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409DE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409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409D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409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40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4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4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409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09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09D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09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409DE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409D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40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409DE"/>
  </w:style>
  <w:style w:type="paragraph" w:styleId="ab">
    <w:name w:val="footer"/>
    <w:basedOn w:val="a"/>
    <w:link w:val="Char4"/>
    <w:uiPriority w:val="99"/>
    <w:unhideWhenUsed/>
    <w:rsid w:val="00240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4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8685</Characters>
  <Application>Microsoft Office Word</Application>
  <DocSecurity>0</DocSecurity>
  <Lines>72</Lines>
  <Paragraphs>20</Paragraphs>
  <ScaleCrop>false</ScaleCrop>
  <Company>SACC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2025-11-26T00:14:00Z</dcterms:created>
  <dcterms:modified xsi:type="dcterms:W3CDTF">2025-11-26T00:16:00Z</dcterms:modified>
</cp:coreProperties>
</file>