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BAE4C">
      <w:pPr>
        <w:pStyle w:val="6"/>
        <w:spacing w:line="360" w:lineRule="auto"/>
        <w:ind w:left="360"/>
        <w:jc w:val="both"/>
        <w:rPr>
          <w:rFonts w:asciiTheme="majorBidi" w:hAnsiTheme="majorBidi" w:cstheme="majorBidi"/>
          <w:b/>
          <w:bCs/>
          <w:sz w:val="28"/>
          <w:szCs w:val="28"/>
        </w:rPr>
      </w:pPr>
      <w:r>
        <w:rPr>
          <w:rFonts w:hint="default" w:asciiTheme="majorBidi" w:hAnsiTheme="majorBidi" w:cstheme="majorBidi"/>
          <w:b/>
          <w:bCs/>
          <w:sz w:val="28"/>
          <w:szCs w:val="28"/>
          <w:lang w:val="en-US"/>
        </w:rPr>
        <w:t xml:space="preserve">Lec.6 of  </w:t>
      </w:r>
      <w:r>
        <w:rPr>
          <w:rFonts w:asciiTheme="majorBidi" w:hAnsiTheme="majorBidi" w:cstheme="majorBidi"/>
          <w:b/>
          <w:bCs/>
          <w:color w:val="1F1F1F"/>
          <w:sz w:val="28"/>
          <w:szCs w:val="28"/>
          <w:shd w:val="clear" w:color="auto" w:fill="FAF9F9"/>
        </w:rPr>
        <w:t>secondary metabolites</w:t>
      </w:r>
      <w:bookmarkStart w:id="0" w:name="_GoBack"/>
      <w:bookmarkEnd w:id="0"/>
    </w:p>
    <w:p w14:paraId="6718EEDB">
      <w:pPr>
        <w:pStyle w:val="6"/>
        <w:spacing w:line="360" w:lineRule="auto"/>
        <w:ind w:left="360"/>
        <w:jc w:val="both"/>
        <w:rPr>
          <w:rFonts w:hint="default" w:asciiTheme="majorBidi" w:hAnsiTheme="majorBidi" w:cstheme="majorBidi"/>
          <w:b/>
          <w:bCs/>
          <w:sz w:val="28"/>
          <w:szCs w:val="28"/>
          <w:lang w:val="en-US"/>
        </w:rPr>
      </w:pPr>
    </w:p>
    <w:p w14:paraId="68C98D96">
      <w:pPr>
        <w:pStyle w:val="6"/>
        <w:spacing w:line="360" w:lineRule="auto"/>
        <w:ind w:left="360"/>
        <w:jc w:val="both"/>
        <w:rPr>
          <w:rFonts w:asciiTheme="majorBidi" w:hAnsiTheme="majorBidi" w:cstheme="majorBidi"/>
          <w:b/>
          <w:bCs/>
          <w:sz w:val="28"/>
          <w:szCs w:val="28"/>
        </w:rPr>
      </w:pPr>
      <w:r>
        <w:rPr>
          <w:rFonts w:asciiTheme="majorBidi" w:hAnsiTheme="majorBidi" w:cstheme="majorBidi"/>
          <w:b/>
          <w:bCs/>
          <w:sz w:val="28"/>
          <w:szCs w:val="28"/>
        </w:rPr>
        <w:t>Sources and</w:t>
      </w:r>
      <w:r>
        <w:rPr>
          <w:rFonts w:asciiTheme="majorBidi" w:hAnsiTheme="majorBidi" w:cstheme="majorBidi"/>
          <w:b/>
          <w:bCs/>
          <w:color w:val="1F1F1F"/>
          <w:sz w:val="28"/>
          <w:szCs w:val="28"/>
          <w:shd w:val="clear" w:color="auto" w:fill="FAF9F9"/>
        </w:rPr>
        <w:t xml:space="preserve"> </w:t>
      </w:r>
      <w:r>
        <w:rPr>
          <w:rFonts w:asciiTheme="majorBidi" w:hAnsiTheme="majorBidi" w:cstheme="majorBidi"/>
          <w:b/>
          <w:bCs/>
          <w:sz w:val="28"/>
          <w:szCs w:val="28"/>
        </w:rPr>
        <w:t>Biosynthetic Pathways</w:t>
      </w:r>
      <w:r>
        <w:rPr>
          <w:rFonts w:asciiTheme="majorBidi" w:hAnsiTheme="majorBidi" w:cstheme="majorBidi"/>
          <w:b/>
          <w:bCs/>
          <w:color w:val="1F1F1F"/>
          <w:sz w:val="28"/>
          <w:szCs w:val="28"/>
          <w:shd w:val="clear" w:color="auto" w:fill="FAF9F9"/>
        </w:rPr>
        <w:t xml:space="preserve"> of secondary metabolites</w:t>
      </w:r>
    </w:p>
    <w:p w14:paraId="05270491">
      <w:pPr>
        <w:spacing w:line="360" w:lineRule="auto"/>
        <w:jc w:val="both"/>
        <w:rPr>
          <w:rFonts w:asciiTheme="majorBidi" w:hAnsiTheme="majorBidi" w:cstheme="majorBidi"/>
          <w:color w:val="548235" w:themeColor="accent6" w:themeShade="BF"/>
          <w:sz w:val="28"/>
          <w:szCs w:val="28"/>
        </w:rPr>
      </w:pPr>
      <w:r>
        <w:rPr>
          <w:rFonts w:asciiTheme="majorBidi" w:hAnsiTheme="majorBidi" w:cstheme="majorBidi"/>
          <w:b/>
          <w:bCs/>
          <w:sz w:val="28"/>
          <w:szCs w:val="28"/>
        </w:rPr>
        <w:t>Secondary metabolites</w:t>
      </w:r>
      <w:r>
        <w:rPr>
          <w:rFonts w:asciiTheme="majorBidi" w:hAnsiTheme="majorBidi" w:cstheme="majorBidi"/>
          <w:sz w:val="28"/>
          <w:szCs w:val="28"/>
        </w:rPr>
        <w:t xml:space="preserve"> are a diverse group of organic compounds produced by plants, microorganisms, and some animals. Unlike primary metabolites — which include carbohydrates, amino acids, nucleotides, lipids, and organic acids essential for growth and survival — secondary metabolites are not directly involved in basic metabolic processes such as respiration, photosynthesis, or protein synthesis. Instead, they play crucial ecological and physiological roles, often giving organisms a competitive advantage in their environment</w:t>
      </w:r>
      <w:r>
        <w:rPr>
          <w:rFonts w:asciiTheme="majorBidi" w:hAnsiTheme="majorBidi" w:cstheme="majorBidi"/>
          <w:color w:val="548235" w:themeColor="accent6" w:themeShade="BF"/>
          <w:sz w:val="28"/>
          <w:szCs w:val="28"/>
        </w:rPr>
        <w:t>.</w:t>
      </w:r>
    </w:p>
    <w:p w14:paraId="71DABFD4">
      <w:pPr>
        <w:spacing w:line="360" w:lineRule="auto"/>
        <w:jc w:val="both"/>
        <w:rPr>
          <w:rFonts w:asciiTheme="majorBidi" w:hAnsiTheme="majorBidi" w:cstheme="majorBidi"/>
          <w:sz w:val="28"/>
          <w:szCs w:val="28"/>
        </w:rPr>
      </w:pPr>
      <w:r>
        <w:rPr>
          <w:rFonts w:asciiTheme="majorBidi" w:hAnsiTheme="majorBidi" w:cstheme="majorBidi"/>
          <w:sz w:val="28"/>
          <w:szCs w:val="28"/>
        </w:rPr>
        <w:t xml:space="preserve">For example, alkaloids, glycosides, phenolics, tannins, microbial </w:t>
      </w:r>
      <w:r>
        <w:rPr>
          <w:rFonts w:asciiTheme="majorBidi" w:hAnsiTheme="majorBidi" w:cstheme="majorBidi"/>
          <w:b/>
          <w:bCs/>
          <w:color w:val="FF0000"/>
          <w:sz w:val="28"/>
          <w:szCs w:val="28"/>
        </w:rPr>
        <w:t>antibiotics and toxins</w:t>
      </w:r>
      <w:r>
        <w:rPr>
          <w:rFonts w:asciiTheme="majorBidi" w:hAnsiTheme="majorBidi" w:cstheme="majorBidi"/>
          <w:sz w:val="28"/>
          <w:szCs w:val="28"/>
        </w:rPr>
        <w:t xml:space="preserve"> are all secondary metabolites that enhance defense, communication, or ecological fitness.</w:t>
      </w:r>
    </w:p>
    <w:p w14:paraId="550C3902">
      <w:pPr>
        <w:pStyle w:val="2"/>
        <w:rPr>
          <w:rFonts w:eastAsia="Times New Roman" w:asciiTheme="majorBidi" w:hAnsiTheme="majorBidi"/>
          <w:b/>
          <w:bCs/>
          <w:color w:val="auto"/>
          <w:sz w:val="24"/>
          <w:szCs w:val="24"/>
        </w:rPr>
      </w:pPr>
      <w:r>
        <w:rPr>
          <w:rFonts w:asciiTheme="majorBidi" w:hAnsiTheme="majorBidi"/>
          <w:b/>
          <w:bCs/>
          <w:color w:val="auto"/>
          <w:sz w:val="24"/>
          <w:szCs w:val="24"/>
        </w:rPr>
        <w:t>Distinction Between Primary and Secondary Metabolism</w:t>
      </w:r>
    </w:p>
    <w:tbl>
      <w:tblPr>
        <w:tblStyle w:val="4"/>
        <w:tblW w:w="0" w:type="auto"/>
        <w:tblCellSpacing w:w="15" w:type="dxa"/>
        <w:tblInd w:w="0" w:type="dxa"/>
        <w:tblLayout w:type="autofit"/>
        <w:tblCellMar>
          <w:top w:w="15" w:type="dxa"/>
          <w:left w:w="15" w:type="dxa"/>
          <w:bottom w:w="15" w:type="dxa"/>
          <w:right w:w="15" w:type="dxa"/>
        </w:tblCellMar>
      </w:tblPr>
      <w:tblGrid>
        <w:gridCol w:w="2748"/>
        <w:gridCol w:w="6502"/>
      </w:tblGrid>
      <w:tr w14:paraId="6928EAED">
        <w:tblPrEx>
          <w:tblCellMar>
            <w:top w:w="15" w:type="dxa"/>
            <w:left w:w="15" w:type="dxa"/>
            <w:bottom w:w="15" w:type="dxa"/>
            <w:right w:w="15" w:type="dxa"/>
          </w:tblCellMar>
        </w:tblPrEx>
        <w:trPr>
          <w:tblHeader/>
          <w:tblCellSpacing w:w="15" w:type="dxa"/>
        </w:trPr>
        <w:tc>
          <w:tcPr>
            <w:tcW w:w="0" w:type="auto"/>
            <w:vAlign w:val="center"/>
          </w:tcPr>
          <w:p w14:paraId="50F3DF89">
            <w:pPr>
              <w:jc w:val="center"/>
              <w:rPr>
                <w:rFonts w:asciiTheme="majorBidi" w:hAnsiTheme="majorBidi" w:cstheme="majorBidi"/>
                <w:b/>
                <w:bCs/>
                <w:sz w:val="24"/>
                <w:szCs w:val="24"/>
              </w:rPr>
            </w:pPr>
            <w:r>
              <w:rPr>
                <w:rStyle w:val="5"/>
                <w:rFonts w:asciiTheme="majorBidi" w:hAnsiTheme="majorBidi" w:cstheme="majorBidi"/>
                <w:sz w:val="24"/>
                <w:szCs w:val="24"/>
              </w:rPr>
              <w:t>Primary metabolism</w:t>
            </w:r>
          </w:p>
        </w:tc>
        <w:tc>
          <w:tcPr>
            <w:tcW w:w="0" w:type="auto"/>
            <w:vAlign w:val="center"/>
          </w:tcPr>
          <w:p w14:paraId="36D3747F">
            <w:pPr>
              <w:jc w:val="center"/>
              <w:rPr>
                <w:rFonts w:asciiTheme="majorBidi" w:hAnsiTheme="majorBidi" w:cstheme="majorBidi"/>
                <w:b/>
                <w:bCs/>
                <w:sz w:val="24"/>
                <w:szCs w:val="24"/>
              </w:rPr>
            </w:pPr>
            <w:r>
              <w:rPr>
                <w:rStyle w:val="5"/>
                <w:rFonts w:asciiTheme="majorBidi" w:hAnsiTheme="majorBidi" w:cstheme="majorBidi"/>
                <w:sz w:val="24"/>
                <w:szCs w:val="24"/>
              </w:rPr>
              <w:t xml:space="preserve">                                                         Secondary metabolism</w:t>
            </w:r>
          </w:p>
        </w:tc>
      </w:tr>
      <w:tr w14:paraId="6F169048">
        <w:tblPrEx>
          <w:tblCellMar>
            <w:top w:w="15" w:type="dxa"/>
            <w:left w:w="15" w:type="dxa"/>
            <w:bottom w:w="15" w:type="dxa"/>
            <w:right w:w="15" w:type="dxa"/>
          </w:tblCellMar>
        </w:tblPrEx>
        <w:trPr>
          <w:tblCellSpacing w:w="15" w:type="dxa"/>
        </w:trPr>
        <w:tc>
          <w:tcPr>
            <w:tcW w:w="0" w:type="auto"/>
            <w:vAlign w:val="center"/>
          </w:tcPr>
          <w:p w14:paraId="61C9682D">
            <w:pPr>
              <w:rPr>
                <w:rFonts w:asciiTheme="majorBidi" w:hAnsiTheme="majorBidi" w:cstheme="majorBidi"/>
                <w:sz w:val="24"/>
                <w:szCs w:val="24"/>
              </w:rPr>
            </w:pPr>
            <w:r>
              <w:rPr>
                <w:rFonts w:asciiTheme="majorBidi" w:hAnsiTheme="majorBidi" w:cstheme="majorBidi"/>
                <w:sz w:val="24"/>
                <w:szCs w:val="24"/>
              </w:rPr>
              <w:t>Universal, essential</w:t>
            </w:r>
          </w:p>
        </w:tc>
        <w:tc>
          <w:tcPr>
            <w:tcW w:w="0" w:type="auto"/>
            <w:vAlign w:val="center"/>
          </w:tcPr>
          <w:p w14:paraId="06AE7DA3">
            <w:pPr>
              <w:rPr>
                <w:rFonts w:asciiTheme="majorBidi" w:hAnsiTheme="majorBidi" w:cstheme="majorBidi"/>
                <w:sz w:val="24"/>
                <w:szCs w:val="24"/>
              </w:rPr>
            </w:pPr>
            <w:r>
              <w:rPr>
                <w:rFonts w:asciiTheme="majorBidi" w:hAnsiTheme="majorBidi" w:cstheme="majorBidi"/>
                <w:sz w:val="24"/>
                <w:szCs w:val="24"/>
              </w:rPr>
              <w:t xml:space="preserve">                                                       Species-specific, non-essential</w:t>
            </w:r>
          </w:p>
        </w:tc>
      </w:tr>
      <w:tr w14:paraId="085485A5">
        <w:tblPrEx>
          <w:tblCellMar>
            <w:top w:w="15" w:type="dxa"/>
            <w:left w:w="15" w:type="dxa"/>
            <w:bottom w:w="15" w:type="dxa"/>
            <w:right w:w="15" w:type="dxa"/>
          </w:tblCellMar>
        </w:tblPrEx>
        <w:trPr>
          <w:tblCellSpacing w:w="15" w:type="dxa"/>
        </w:trPr>
        <w:tc>
          <w:tcPr>
            <w:tcW w:w="0" w:type="auto"/>
            <w:vAlign w:val="center"/>
          </w:tcPr>
          <w:p w14:paraId="4FAA1197">
            <w:pPr>
              <w:rPr>
                <w:rFonts w:asciiTheme="majorBidi" w:hAnsiTheme="majorBidi" w:cstheme="majorBidi"/>
                <w:sz w:val="24"/>
                <w:szCs w:val="24"/>
              </w:rPr>
            </w:pPr>
            <w:r>
              <w:rPr>
                <w:rFonts w:asciiTheme="majorBidi" w:hAnsiTheme="majorBidi" w:cstheme="majorBidi"/>
                <w:sz w:val="24"/>
                <w:szCs w:val="24"/>
              </w:rPr>
              <w:t>Growth, reproduction</w:t>
            </w:r>
          </w:p>
        </w:tc>
        <w:tc>
          <w:tcPr>
            <w:tcW w:w="0" w:type="auto"/>
            <w:vAlign w:val="center"/>
          </w:tcPr>
          <w:p w14:paraId="4A71BC60">
            <w:pPr>
              <w:rPr>
                <w:rFonts w:asciiTheme="majorBidi" w:hAnsiTheme="majorBidi" w:cstheme="majorBidi"/>
                <w:sz w:val="24"/>
                <w:szCs w:val="24"/>
              </w:rPr>
            </w:pPr>
            <w:r>
              <w:rPr>
                <w:rFonts w:asciiTheme="majorBidi" w:hAnsiTheme="majorBidi" w:cstheme="majorBidi"/>
                <w:sz w:val="24"/>
                <w:szCs w:val="24"/>
              </w:rPr>
              <w:t xml:space="preserve">                                                       Defense, ecological adaptation</w:t>
            </w:r>
          </w:p>
        </w:tc>
      </w:tr>
      <w:tr w14:paraId="463F06DC">
        <w:tblPrEx>
          <w:tblCellMar>
            <w:top w:w="15" w:type="dxa"/>
            <w:left w:w="15" w:type="dxa"/>
            <w:bottom w:w="15" w:type="dxa"/>
            <w:right w:w="15" w:type="dxa"/>
          </w:tblCellMar>
        </w:tblPrEx>
        <w:trPr>
          <w:tblCellSpacing w:w="15" w:type="dxa"/>
        </w:trPr>
        <w:tc>
          <w:tcPr>
            <w:tcW w:w="0" w:type="auto"/>
            <w:vAlign w:val="center"/>
          </w:tcPr>
          <w:p w14:paraId="2D97CB75">
            <w:pPr>
              <w:jc w:val="center"/>
              <w:rPr>
                <w:rFonts w:asciiTheme="majorBidi" w:hAnsiTheme="majorBidi" w:cstheme="majorBidi"/>
                <w:sz w:val="24"/>
                <w:szCs w:val="24"/>
              </w:rPr>
            </w:pPr>
            <w:r>
              <w:rPr>
                <w:rFonts w:asciiTheme="majorBidi" w:hAnsiTheme="majorBidi" w:cstheme="majorBidi"/>
                <w:sz w:val="24"/>
                <w:szCs w:val="24"/>
              </w:rPr>
              <w:t xml:space="preserve">Carbohydrates, amino acids                               </w:t>
            </w:r>
          </w:p>
        </w:tc>
        <w:tc>
          <w:tcPr>
            <w:tcW w:w="0" w:type="auto"/>
            <w:vAlign w:val="center"/>
          </w:tcPr>
          <w:p w14:paraId="33650A0B">
            <w:pPr>
              <w:rPr>
                <w:rFonts w:asciiTheme="majorBidi" w:hAnsiTheme="majorBidi" w:cstheme="majorBidi"/>
                <w:sz w:val="24"/>
                <w:szCs w:val="24"/>
              </w:rPr>
            </w:pPr>
            <w:r>
              <w:rPr>
                <w:rFonts w:asciiTheme="majorBidi" w:hAnsiTheme="majorBidi" w:cstheme="majorBidi"/>
                <w:sz w:val="24"/>
                <w:szCs w:val="24"/>
              </w:rPr>
              <w:t xml:space="preserve">                                                      Alkaloids, glycosides, </w:t>
            </w:r>
            <w:r>
              <w:rPr>
                <w:rFonts w:asciiTheme="majorBidi" w:hAnsiTheme="majorBidi" w:cstheme="majorBidi"/>
                <w:color w:val="FF0000"/>
                <w:sz w:val="24"/>
                <w:szCs w:val="24"/>
              </w:rPr>
              <w:t>antibiotics</w:t>
            </w:r>
            <w:r>
              <w:rPr>
                <w:rFonts w:asciiTheme="majorBidi" w:hAnsiTheme="majorBidi" w:cstheme="majorBidi"/>
                <w:sz w:val="24"/>
                <w:szCs w:val="24"/>
              </w:rPr>
              <w:t xml:space="preserve">                                                                            </w:t>
            </w:r>
          </w:p>
        </w:tc>
      </w:tr>
      <w:tr w14:paraId="4FE94BDC">
        <w:tblPrEx>
          <w:tblCellMar>
            <w:top w:w="15" w:type="dxa"/>
            <w:left w:w="15" w:type="dxa"/>
            <w:bottom w:w="15" w:type="dxa"/>
            <w:right w:w="15" w:type="dxa"/>
          </w:tblCellMar>
        </w:tblPrEx>
        <w:trPr>
          <w:tblCellSpacing w:w="15" w:type="dxa"/>
        </w:trPr>
        <w:tc>
          <w:tcPr>
            <w:tcW w:w="0" w:type="auto"/>
            <w:vAlign w:val="center"/>
          </w:tcPr>
          <w:p w14:paraId="7AF70EF8">
            <w:pPr>
              <w:rPr>
                <w:rFonts w:asciiTheme="majorBidi" w:hAnsiTheme="majorBidi" w:cstheme="majorBidi"/>
                <w:sz w:val="24"/>
                <w:szCs w:val="24"/>
              </w:rPr>
            </w:pPr>
            <w:r>
              <w:rPr>
                <w:rFonts w:asciiTheme="majorBidi" w:hAnsiTheme="majorBidi" w:cstheme="majorBidi"/>
                <w:sz w:val="24"/>
                <w:szCs w:val="24"/>
              </w:rPr>
              <w:t>Found in all organisms</w:t>
            </w:r>
          </w:p>
        </w:tc>
        <w:tc>
          <w:tcPr>
            <w:tcW w:w="0" w:type="auto"/>
            <w:vAlign w:val="center"/>
          </w:tcPr>
          <w:p w14:paraId="73063341">
            <w:pPr>
              <w:rPr>
                <w:rFonts w:asciiTheme="majorBidi" w:hAnsiTheme="majorBidi" w:cstheme="majorBidi"/>
                <w:sz w:val="24"/>
                <w:szCs w:val="24"/>
              </w:rPr>
            </w:pPr>
            <w:r>
              <w:rPr>
                <w:rFonts w:asciiTheme="majorBidi" w:hAnsiTheme="majorBidi" w:cstheme="majorBidi"/>
                <w:sz w:val="24"/>
                <w:szCs w:val="24"/>
              </w:rPr>
              <w:t xml:space="preserve">                                                      Restricted distribution</w:t>
            </w:r>
          </w:p>
        </w:tc>
      </w:tr>
    </w:tbl>
    <w:p w14:paraId="4CE3AA61">
      <w:pPr>
        <w:spacing w:line="360" w:lineRule="auto"/>
        <w:jc w:val="both"/>
        <w:rPr>
          <w:rFonts w:asciiTheme="majorBidi" w:hAnsiTheme="majorBidi" w:cstheme="majorBidi"/>
          <w:sz w:val="28"/>
          <w:szCs w:val="28"/>
        </w:rPr>
      </w:pPr>
    </w:p>
    <w:p w14:paraId="0BF0B96A">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Sources of Secondary Metabolites</w:t>
      </w:r>
    </w:p>
    <w:p w14:paraId="2D05E044">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1. Plant Sources</w:t>
      </w:r>
    </w:p>
    <w:p w14:paraId="2A5E71AF">
      <w:pPr>
        <w:spacing w:line="360" w:lineRule="auto"/>
        <w:jc w:val="both"/>
        <w:rPr>
          <w:rFonts w:asciiTheme="majorBidi" w:hAnsiTheme="majorBidi" w:cstheme="majorBidi"/>
          <w:sz w:val="28"/>
          <w:szCs w:val="28"/>
        </w:rPr>
      </w:pPr>
      <w:r>
        <w:rPr>
          <w:rFonts w:asciiTheme="majorBidi" w:hAnsiTheme="majorBidi" w:cstheme="majorBidi"/>
          <w:sz w:val="28"/>
          <w:szCs w:val="28"/>
        </w:rPr>
        <w:t>Plants are the richest reservoir of secondary metabolites.</w:t>
      </w:r>
    </w:p>
    <w:p w14:paraId="043C0C1D">
      <w:pPr>
        <w:spacing w:line="360" w:lineRule="auto"/>
        <w:jc w:val="both"/>
        <w:rPr>
          <w:rFonts w:asciiTheme="majorBidi" w:hAnsiTheme="majorBidi" w:cstheme="majorBidi"/>
          <w:sz w:val="28"/>
          <w:szCs w:val="28"/>
        </w:rPr>
      </w:pPr>
      <w:r>
        <w:rPr>
          <w:rFonts w:asciiTheme="majorBidi" w:hAnsiTheme="majorBidi" w:cstheme="majorBidi"/>
          <w:sz w:val="28"/>
          <w:szCs w:val="28"/>
        </w:rPr>
        <w:t>• Roots: Often contain alkaloids and glycosides that protect against soil pathogens.</w:t>
      </w:r>
    </w:p>
    <w:p w14:paraId="0EA9573B">
      <w:pPr>
        <w:spacing w:line="360" w:lineRule="auto"/>
        <w:jc w:val="both"/>
        <w:rPr>
          <w:rFonts w:asciiTheme="majorBidi" w:hAnsiTheme="majorBidi" w:cstheme="majorBidi"/>
          <w:sz w:val="28"/>
          <w:szCs w:val="28"/>
        </w:rPr>
      </w:pPr>
      <w:r>
        <w:rPr>
          <w:rFonts w:asciiTheme="majorBidi" w:hAnsiTheme="majorBidi" w:cstheme="majorBidi"/>
          <w:sz w:val="28"/>
          <w:szCs w:val="28"/>
        </w:rPr>
        <w:t>• Leaves: Rich in phenolic compounds, flavonoids, and tannins that provide UV protection and deter herbivores.</w:t>
      </w:r>
    </w:p>
    <w:p w14:paraId="118429BC">
      <w:pPr>
        <w:spacing w:line="360" w:lineRule="auto"/>
        <w:jc w:val="both"/>
        <w:rPr>
          <w:rFonts w:asciiTheme="majorBidi" w:hAnsiTheme="majorBidi" w:cstheme="majorBidi"/>
          <w:sz w:val="28"/>
          <w:szCs w:val="28"/>
        </w:rPr>
      </w:pPr>
      <w:r>
        <w:rPr>
          <w:rFonts w:asciiTheme="majorBidi" w:hAnsiTheme="majorBidi" w:cstheme="majorBidi"/>
          <w:sz w:val="28"/>
          <w:szCs w:val="28"/>
        </w:rPr>
        <w:t>• Seeds and fruits: Store glycosides, saponins, and phenolics that aid in defense and dispersal.</w:t>
      </w:r>
    </w:p>
    <w:p w14:paraId="3E9EFB7E">
      <w:pPr>
        <w:spacing w:line="360" w:lineRule="auto"/>
        <w:jc w:val="both"/>
        <w:rPr>
          <w:rFonts w:asciiTheme="majorBidi" w:hAnsiTheme="majorBidi" w:cstheme="majorBidi"/>
          <w:sz w:val="28"/>
          <w:szCs w:val="28"/>
        </w:rPr>
      </w:pPr>
      <w:r>
        <w:rPr>
          <w:rFonts w:asciiTheme="majorBidi" w:hAnsiTheme="majorBidi" w:cstheme="majorBidi"/>
          <w:sz w:val="28"/>
          <w:szCs w:val="28"/>
        </w:rPr>
        <w:t>• Bark and stems: Contain alkaloids and tannins that protect against microbial invasion.</w:t>
      </w:r>
    </w:p>
    <w:p w14:paraId="7A4A5DCF">
      <w:pPr>
        <w:spacing w:line="360" w:lineRule="auto"/>
        <w:jc w:val="both"/>
        <w:rPr>
          <w:rFonts w:asciiTheme="majorBidi" w:hAnsiTheme="majorBidi" w:cstheme="majorBidi"/>
          <w:sz w:val="28"/>
          <w:szCs w:val="28"/>
        </w:rPr>
      </w:pPr>
      <w:r>
        <w:rPr>
          <w:rFonts w:asciiTheme="majorBidi" w:hAnsiTheme="majorBidi" w:cstheme="majorBidi"/>
          <w:sz w:val="28"/>
          <w:szCs w:val="28"/>
        </w:rPr>
        <w:t>Examples from sources:</w:t>
      </w:r>
    </w:p>
    <w:p w14:paraId="11FDBDEC">
      <w:pPr>
        <w:spacing w:line="360" w:lineRule="auto"/>
        <w:jc w:val="both"/>
        <w:rPr>
          <w:rFonts w:asciiTheme="majorBidi" w:hAnsiTheme="majorBidi" w:cstheme="majorBidi"/>
          <w:sz w:val="28"/>
          <w:szCs w:val="28"/>
        </w:rPr>
      </w:pPr>
      <w:r>
        <w:rPr>
          <w:rFonts w:asciiTheme="majorBidi" w:hAnsiTheme="majorBidi" w:cstheme="majorBidi"/>
          <w:sz w:val="28"/>
          <w:szCs w:val="28"/>
        </w:rPr>
        <w:t>• Nicotine in tobacco leaves.</w:t>
      </w:r>
    </w:p>
    <w:p w14:paraId="4E6BB39E">
      <w:pPr>
        <w:spacing w:line="360" w:lineRule="auto"/>
        <w:jc w:val="both"/>
        <w:rPr>
          <w:rFonts w:asciiTheme="majorBidi" w:hAnsiTheme="majorBidi" w:cstheme="majorBidi"/>
          <w:sz w:val="28"/>
          <w:szCs w:val="28"/>
        </w:rPr>
      </w:pPr>
      <w:r>
        <w:rPr>
          <w:rFonts w:asciiTheme="majorBidi" w:hAnsiTheme="majorBidi" w:cstheme="majorBidi"/>
          <w:sz w:val="28"/>
          <w:szCs w:val="28"/>
        </w:rPr>
        <w:t>• Quinine in cinchona bark.</w:t>
      </w:r>
    </w:p>
    <w:p w14:paraId="68087CCF">
      <w:pPr>
        <w:spacing w:line="360" w:lineRule="auto"/>
        <w:jc w:val="both"/>
        <w:rPr>
          <w:rFonts w:asciiTheme="majorBidi" w:hAnsiTheme="majorBidi" w:cstheme="majorBidi"/>
          <w:sz w:val="28"/>
          <w:szCs w:val="28"/>
        </w:rPr>
      </w:pPr>
      <w:r>
        <w:rPr>
          <w:rFonts w:asciiTheme="majorBidi" w:hAnsiTheme="majorBidi" w:cstheme="majorBidi"/>
          <w:sz w:val="28"/>
          <w:szCs w:val="28"/>
        </w:rPr>
        <w:t>• Flavonoids in fruits and flowers.</w:t>
      </w:r>
    </w:p>
    <w:p w14:paraId="28A90650">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2. Microbial Sources</w:t>
      </w:r>
    </w:p>
    <w:p w14:paraId="529009ED">
      <w:pPr>
        <w:spacing w:line="360" w:lineRule="auto"/>
        <w:jc w:val="both"/>
        <w:rPr>
          <w:rFonts w:asciiTheme="majorBidi" w:hAnsiTheme="majorBidi" w:cstheme="majorBidi"/>
          <w:sz w:val="28"/>
          <w:szCs w:val="28"/>
        </w:rPr>
      </w:pPr>
      <w:r>
        <w:rPr>
          <w:rFonts w:asciiTheme="majorBidi" w:hAnsiTheme="majorBidi" w:cstheme="majorBidi"/>
          <w:sz w:val="28"/>
          <w:szCs w:val="28"/>
        </w:rPr>
        <w:t>Microorganisms such as bacteria, fungi, and actinomycetes produce a wide range of secondary metabolites.</w:t>
      </w:r>
    </w:p>
    <w:p w14:paraId="7AD9ACAD">
      <w:pPr>
        <w:spacing w:line="360" w:lineRule="auto"/>
        <w:jc w:val="both"/>
        <w:rPr>
          <w:rFonts w:asciiTheme="majorBidi" w:hAnsiTheme="majorBidi" w:cstheme="majorBidi"/>
          <w:sz w:val="28"/>
          <w:szCs w:val="28"/>
        </w:rPr>
      </w:pPr>
      <w:r>
        <w:rPr>
          <w:rFonts w:asciiTheme="majorBidi" w:hAnsiTheme="majorBidi" w:cstheme="majorBidi"/>
          <w:sz w:val="28"/>
          <w:szCs w:val="28"/>
        </w:rPr>
        <w:t>• Bacteria: Antibiotics (streptomycin, tetracycline), toxins (cholera toxin).</w:t>
      </w:r>
    </w:p>
    <w:p w14:paraId="0BC2520D">
      <w:pPr>
        <w:spacing w:line="360" w:lineRule="auto"/>
        <w:jc w:val="both"/>
        <w:rPr>
          <w:rFonts w:asciiTheme="majorBidi" w:hAnsiTheme="majorBidi" w:cstheme="majorBidi"/>
          <w:sz w:val="28"/>
          <w:szCs w:val="28"/>
        </w:rPr>
      </w:pPr>
      <w:r>
        <w:rPr>
          <w:rFonts w:asciiTheme="majorBidi" w:hAnsiTheme="majorBidi" w:cstheme="majorBidi"/>
          <w:sz w:val="28"/>
          <w:szCs w:val="28"/>
        </w:rPr>
        <w:t>• Fungi: Mycotoxins (aflatoxins), penicillin, ergot alkaloids.</w:t>
      </w:r>
    </w:p>
    <w:p w14:paraId="303E429B">
      <w:pPr>
        <w:spacing w:line="360" w:lineRule="auto"/>
        <w:jc w:val="both"/>
        <w:rPr>
          <w:rFonts w:asciiTheme="majorBidi" w:hAnsiTheme="majorBidi" w:cstheme="majorBidi"/>
          <w:sz w:val="28"/>
          <w:szCs w:val="28"/>
        </w:rPr>
      </w:pPr>
      <w:r>
        <w:rPr>
          <w:rFonts w:asciiTheme="majorBidi" w:hAnsiTheme="majorBidi" w:cstheme="majorBidi"/>
          <w:sz w:val="28"/>
          <w:szCs w:val="28"/>
        </w:rPr>
        <w:t>• Actinomycetes: Known for producing diverse antibiotics and bioactive compounds.</w:t>
      </w:r>
    </w:p>
    <w:p w14:paraId="5F8E071A">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3. Marine Sources</w:t>
      </w:r>
    </w:p>
    <w:p w14:paraId="0B4ED4FE">
      <w:pPr>
        <w:spacing w:line="360" w:lineRule="auto"/>
        <w:jc w:val="both"/>
        <w:rPr>
          <w:rFonts w:asciiTheme="majorBidi" w:hAnsiTheme="majorBidi" w:cstheme="majorBidi"/>
          <w:sz w:val="28"/>
          <w:szCs w:val="28"/>
        </w:rPr>
      </w:pPr>
      <w:r>
        <w:rPr>
          <w:rFonts w:asciiTheme="majorBidi" w:hAnsiTheme="majorBidi" w:cstheme="majorBidi"/>
          <w:sz w:val="28"/>
          <w:szCs w:val="28"/>
        </w:rPr>
        <w:t>Marine organisms, including algae, sponges, and marine bacteria, are increasingly recognized as sources of novel secondary metabolites.</w:t>
      </w:r>
    </w:p>
    <w:p w14:paraId="6A4DBF48">
      <w:pPr>
        <w:spacing w:line="360" w:lineRule="auto"/>
        <w:jc w:val="both"/>
        <w:rPr>
          <w:rFonts w:asciiTheme="majorBidi" w:hAnsiTheme="majorBidi" w:cstheme="majorBidi"/>
          <w:sz w:val="28"/>
          <w:szCs w:val="28"/>
        </w:rPr>
      </w:pPr>
      <w:r>
        <w:rPr>
          <w:rFonts w:asciiTheme="majorBidi" w:hAnsiTheme="majorBidi" w:cstheme="majorBidi"/>
          <w:sz w:val="28"/>
          <w:szCs w:val="28"/>
        </w:rPr>
        <w:t>• Algae: Produce pigments, polyphenols, and halogenated compounds.</w:t>
      </w:r>
    </w:p>
    <w:p w14:paraId="43B01109">
      <w:pPr>
        <w:spacing w:line="360" w:lineRule="auto"/>
        <w:jc w:val="both"/>
        <w:rPr>
          <w:rFonts w:asciiTheme="majorBidi" w:hAnsiTheme="majorBidi" w:cstheme="majorBidi"/>
          <w:sz w:val="28"/>
          <w:szCs w:val="28"/>
        </w:rPr>
      </w:pPr>
      <w:r>
        <w:rPr>
          <w:rFonts w:asciiTheme="majorBidi" w:hAnsiTheme="majorBidi" w:cstheme="majorBidi"/>
          <w:sz w:val="28"/>
          <w:szCs w:val="28"/>
        </w:rPr>
        <w:t>• Sponges: Yield alkaloid‑like compounds with anticancer activity.</w:t>
      </w:r>
    </w:p>
    <w:p w14:paraId="548A64FA">
      <w:pPr>
        <w:spacing w:line="360" w:lineRule="auto"/>
        <w:jc w:val="both"/>
        <w:rPr>
          <w:rFonts w:asciiTheme="majorBidi" w:hAnsiTheme="majorBidi" w:cstheme="majorBidi"/>
          <w:sz w:val="28"/>
          <w:szCs w:val="28"/>
        </w:rPr>
      </w:pPr>
      <w:r>
        <w:rPr>
          <w:rFonts w:asciiTheme="majorBidi" w:hAnsiTheme="majorBidi" w:cstheme="majorBidi"/>
          <w:sz w:val="28"/>
          <w:szCs w:val="28"/>
        </w:rPr>
        <w:t>• Marine bacteria: Contribute unique toxins and antibiotics.</w:t>
      </w:r>
    </w:p>
    <w:p w14:paraId="5A3DF505">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Biosynthetic Pathways</w:t>
      </w:r>
      <w:r>
        <w:rPr>
          <w:rFonts w:asciiTheme="majorBidi" w:hAnsiTheme="majorBidi" w:cstheme="majorBidi"/>
          <w:b/>
          <w:bCs/>
          <w:color w:val="1F1F1F"/>
          <w:sz w:val="28"/>
          <w:szCs w:val="28"/>
          <w:shd w:val="clear" w:color="auto" w:fill="FAF9F9"/>
        </w:rPr>
        <w:t xml:space="preserve"> of secondary metabolites</w:t>
      </w:r>
    </w:p>
    <w:p w14:paraId="0A6F9CCC">
      <w:pPr>
        <w:spacing w:line="360" w:lineRule="auto"/>
        <w:jc w:val="both"/>
        <w:rPr>
          <w:rFonts w:asciiTheme="majorBidi" w:hAnsiTheme="majorBidi" w:cstheme="majorBidi"/>
          <w:sz w:val="28"/>
          <w:szCs w:val="28"/>
        </w:rPr>
      </w:pPr>
      <w:r>
        <w:rPr>
          <w:rFonts w:asciiTheme="majorBidi" w:hAnsiTheme="majorBidi" w:cstheme="majorBidi"/>
          <w:sz w:val="28"/>
          <w:szCs w:val="28"/>
        </w:rPr>
        <w:t>Secondary metabolites are derived from primary metabolic intermediates through specialized pathways.</w:t>
      </w:r>
    </w:p>
    <w:p w14:paraId="365C639D">
      <w:pPr>
        <w:spacing w:line="360" w:lineRule="auto"/>
        <w:jc w:val="both"/>
        <w:rPr>
          <w:rFonts w:asciiTheme="majorBidi" w:hAnsiTheme="majorBidi" w:cstheme="majorBidi"/>
          <w:sz w:val="28"/>
          <w:szCs w:val="28"/>
        </w:rPr>
      </w:pPr>
      <w:r>
        <w:rPr>
          <w:rFonts w:asciiTheme="majorBidi" w:hAnsiTheme="majorBidi" w:cstheme="majorBidi"/>
          <w:sz w:val="28"/>
          <w:szCs w:val="28"/>
        </w:rPr>
        <w:t>•</w:t>
      </w:r>
      <w:r>
        <w:rPr>
          <w:rFonts w:asciiTheme="majorBidi" w:hAnsiTheme="majorBidi" w:cstheme="majorBidi"/>
          <w:b/>
          <w:sz w:val="28"/>
          <w:szCs w:val="28"/>
        </w:rPr>
        <w:t>Shikimate Pathway:</w:t>
      </w:r>
      <w:r>
        <w:rPr>
          <w:rFonts w:asciiTheme="majorBidi" w:hAnsiTheme="majorBidi" w:cstheme="majorBidi"/>
          <w:sz w:val="28"/>
          <w:szCs w:val="28"/>
        </w:rPr>
        <w:t xml:space="preserve"> This pathway starts from simple sugars like phosphoenolpyruvate and erythrose-4-phosphate to produce aromatic amino acids such as phenylalanine, tyrosine, and tryptophan. These amino acids serve as precursors for many secondary metabolites including alkaloids, phenolics, and flavonoids.</w:t>
      </w:r>
    </w:p>
    <w:p w14:paraId="1166593A">
      <w:pPr>
        <w:pStyle w:val="6"/>
        <w:numPr>
          <w:ilvl w:val="0"/>
          <w:numId w:val="1"/>
        </w:numPr>
        <w:spacing w:before="60" w:after="60" w:line="360" w:lineRule="auto"/>
        <w:jc w:val="both"/>
        <w:rPr>
          <w:rFonts w:asciiTheme="majorBidi" w:hAnsiTheme="majorBidi" w:cstheme="majorBidi"/>
          <w:sz w:val="28"/>
          <w:szCs w:val="28"/>
        </w:rPr>
      </w:pPr>
      <w:r>
        <w:rPr>
          <w:rFonts w:asciiTheme="majorBidi" w:hAnsiTheme="majorBidi" w:cstheme="majorBidi"/>
          <w:b/>
          <w:sz w:val="28"/>
          <w:szCs w:val="28"/>
        </w:rPr>
        <w:t>Acetate (Polyketide) Pathway:</w:t>
      </w:r>
      <w:r>
        <w:rPr>
          <w:rFonts w:asciiTheme="majorBidi" w:hAnsiTheme="majorBidi" w:cstheme="majorBidi"/>
          <w:sz w:val="28"/>
          <w:szCs w:val="28"/>
        </w:rPr>
        <w:t xml:space="preserve"> Utilizing acetyl-CoA= units, this pathway synthesizes polyketides, which are a large class of secondary metabolites including antibiotics, pigments, and toxins. Polyketide synthases catalyze the stepwise condensation of acetyl units to form complex structures.</w:t>
      </w:r>
    </w:p>
    <w:p w14:paraId="1E79BBB9">
      <w:pPr>
        <w:pStyle w:val="6"/>
        <w:numPr>
          <w:ilvl w:val="0"/>
          <w:numId w:val="1"/>
        </w:numPr>
        <w:spacing w:before="60" w:after="60" w:line="360" w:lineRule="auto"/>
        <w:jc w:val="both"/>
        <w:rPr>
          <w:rFonts w:asciiTheme="majorBidi" w:hAnsiTheme="majorBidi" w:cstheme="majorBidi"/>
          <w:sz w:val="28"/>
          <w:szCs w:val="28"/>
        </w:rPr>
      </w:pPr>
      <w:r>
        <w:rPr>
          <w:rFonts w:asciiTheme="majorBidi" w:hAnsiTheme="majorBidi" w:cstheme="majorBidi"/>
          <w:b/>
          <w:sz w:val="28"/>
          <w:szCs w:val="28"/>
        </w:rPr>
        <w:t>Mevalonate Pathway (Isoprenoid Pathway):</w:t>
      </w:r>
      <w:r>
        <w:rPr>
          <w:rFonts w:asciiTheme="majorBidi" w:hAnsiTheme="majorBidi" w:cstheme="majorBidi"/>
          <w:sz w:val="28"/>
          <w:szCs w:val="28"/>
        </w:rPr>
        <w:t xml:space="preserve"> This pathway generates isoprenoid units from acetyl-CoA through mevalonic acid intermediates. Isoprenoids include terpenoids, steroids, and carotenoids, which have diverse ecological and physiological roles.</w:t>
      </w:r>
    </w:p>
    <w:p w14:paraId="3F235DC8">
      <w:pPr>
        <w:pStyle w:val="6"/>
        <w:numPr>
          <w:ilvl w:val="0"/>
          <w:numId w:val="1"/>
        </w:numPr>
        <w:spacing w:before="60" w:after="60" w:line="360" w:lineRule="auto"/>
        <w:jc w:val="both"/>
        <w:rPr>
          <w:rFonts w:asciiTheme="majorBidi" w:hAnsiTheme="majorBidi" w:cstheme="majorBidi"/>
          <w:sz w:val="28"/>
          <w:szCs w:val="28"/>
        </w:rPr>
      </w:pPr>
      <w:r>
        <w:rPr>
          <w:rFonts w:asciiTheme="majorBidi" w:hAnsiTheme="majorBidi" w:cstheme="majorBidi"/>
          <w:b/>
          <w:sz w:val="28"/>
          <w:szCs w:val="28"/>
        </w:rPr>
        <w:t>Non-Ribosomal Peptide Synthesis (NRPS):</w:t>
      </w:r>
      <w:r>
        <w:rPr>
          <w:rFonts w:asciiTheme="majorBidi" w:hAnsiTheme="majorBidi" w:cstheme="majorBidi"/>
          <w:sz w:val="28"/>
          <w:szCs w:val="28"/>
        </w:rPr>
        <w:t xml:space="preserve"> This pathway assembles peptides independently of ribosomes, often incorporating unusual amino acids. It produces important secondary metabolites like antibiotics (e.g., penicillin) and siderophores.</w:t>
      </w:r>
    </w:p>
    <w:p w14:paraId="4AD196A0">
      <w:pPr>
        <w:pStyle w:val="6"/>
        <w:numPr>
          <w:ilvl w:val="0"/>
          <w:numId w:val="1"/>
        </w:numPr>
        <w:spacing w:before="60" w:after="60" w:line="360" w:lineRule="auto"/>
        <w:jc w:val="both"/>
        <w:rPr>
          <w:rFonts w:asciiTheme="majorBidi" w:hAnsiTheme="majorBidi" w:cstheme="majorBidi"/>
          <w:sz w:val="28"/>
          <w:szCs w:val="28"/>
        </w:rPr>
      </w:pPr>
      <w:r>
        <w:rPr>
          <w:rFonts w:asciiTheme="majorBidi" w:hAnsiTheme="majorBidi" w:cstheme="majorBidi"/>
          <w:b/>
          <w:sz w:val="28"/>
          <w:szCs w:val="28"/>
        </w:rPr>
        <w:t>Alkaloid Biosynthesis:</w:t>
      </w:r>
      <w:r>
        <w:rPr>
          <w:rFonts w:asciiTheme="majorBidi" w:hAnsiTheme="majorBidi" w:cstheme="majorBidi"/>
          <w:sz w:val="28"/>
          <w:szCs w:val="28"/>
        </w:rPr>
        <w:t xml:space="preserve"> Alkaloids are nitrogen-containing compounds derived mainly from amino acids. Their biosynthesis involves decarboxylation, methylation, and other modifications to form complex ring structures.</w:t>
      </w:r>
    </w:p>
    <w:p w14:paraId="01831FB7">
      <w:pPr>
        <w:pStyle w:val="6"/>
        <w:spacing w:before="60" w:after="60" w:line="360" w:lineRule="auto"/>
        <w:ind w:left="360"/>
        <w:jc w:val="both"/>
        <w:rPr>
          <w:rFonts w:asciiTheme="majorBidi" w:hAnsiTheme="majorBidi" w:cstheme="majorBidi"/>
          <w:sz w:val="28"/>
          <w:szCs w:val="28"/>
        </w:rPr>
      </w:pPr>
    </w:p>
    <w:p w14:paraId="7F095614">
      <w:pPr>
        <w:spacing w:line="360" w:lineRule="auto"/>
        <w:jc w:val="both"/>
        <w:rPr>
          <w:rFonts w:asciiTheme="majorBidi" w:hAnsiTheme="majorBidi" w:cstheme="majorBidi"/>
          <w:sz w:val="28"/>
          <w:szCs w:val="28"/>
        </w:rPr>
      </w:pPr>
      <w:r>
        <w:rPr>
          <w:rFonts w:asciiTheme="majorBidi" w:hAnsiTheme="majorBidi" w:cstheme="majorBidi"/>
          <w:sz w:val="28"/>
          <w:szCs w:val="28"/>
        </w:rPr>
        <w:t>Each pathway is tightly regulated and often organized into gene clusters encoding the necessary enzymes. The diversity of secondary metabolites arises from variations and combinations of these biosynthetic routes, enabling organisms to adapt and interact with their environment effectively.</w:t>
      </w:r>
    </w:p>
    <w:p w14:paraId="1A2E1247">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Regulation of Secondary Metabolism</w:t>
      </w:r>
    </w:p>
    <w:p w14:paraId="6B16ED09">
      <w:pPr>
        <w:spacing w:line="360" w:lineRule="auto"/>
        <w:jc w:val="both"/>
        <w:rPr>
          <w:rFonts w:asciiTheme="majorBidi" w:hAnsiTheme="majorBidi" w:cstheme="majorBidi"/>
          <w:sz w:val="28"/>
          <w:szCs w:val="28"/>
        </w:rPr>
      </w:pPr>
      <w:r>
        <w:rPr>
          <w:rFonts w:asciiTheme="majorBidi" w:hAnsiTheme="majorBidi" w:cstheme="majorBidi"/>
          <w:sz w:val="28"/>
          <w:szCs w:val="28"/>
        </w:rPr>
        <w:t>Secondary metabolism is highly regulated and often induced under specific conditions:</w:t>
      </w:r>
    </w:p>
    <w:p w14:paraId="69905E3D">
      <w:pPr>
        <w:spacing w:line="360" w:lineRule="auto"/>
        <w:jc w:val="both"/>
        <w:rPr>
          <w:rFonts w:asciiTheme="majorBidi" w:hAnsiTheme="majorBidi" w:cstheme="majorBidi"/>
          <w:sz w:val="28"/>
          <w:szCs w:val="28"/>
        </w:rPr>
      </w:pPr>
      <w:r>
        <w:rPr>
          <w:rFonts w:asciiTheme="majorBidi" w:hAnsiTheme="majorBidi" w:cstheme="majorBidi"/>
          <w:sz w:val="28"/>
          <w:szCs w:val="28"/>
        </w:rPr>
        <w:t>• Developmental stage: Certain metabolites accumulate during flowering, seed formation, or fruit ripening.</w:t>
      </w:r>
    </w:p>
    <w:p w14:paraId="627C409F">
      <w:pPr>
        <w:spacing w:line="360" w:lineRule="auto"/>
        <w:jc w:val="both"/>
        <w:rPr>
          <w:rFonts w:asciiTheme="majorBidi" w:hAnsiTheme="majorBidi" w:cstheme="majorBidi"/>
          <w:sz w:val="28"/>
          <w:szCs w:val="28"/>
        </w:rPr>
      </w:pPr>
      <w:r>
        <w:rPr>
          <w:rFonts w:asciiTheme="majorBidi" w:hAnsiTheme="majorBidi" w:cstheme="majorBidi"/>
          <w:sz w:val="28"/>
          <w:szCs w:val="28"/>
        </w:rPr>
        <w:t>• Environmental stress: UV radiation, drought, or pathogen attack triggers production of phenolics and alkaloids.</w:t>
      </w:r>
    </w:p>
    <w:p w14:paraId="7A1A80AD">
      <w:pPr>
        <w:spacing w:line="360" w:lineRule="auto"/>
        <w:jc w:val="both"/>
        <w:rPr>
          <w:rFonts w:asciiTheme="majorBidi" w:hAnsiTheme="majorBidi" w:cstheme="majorBidi"/>
          <w:sz w:val="28"/>
          <w:szCs w:val="28"/>
        </w:rPr>
      </w:pPr>
      <w:r>
        <w:rPr>
          <w:rFonts w:asciiTheme="majorBidi" w:hAnsiTheme="majorBidi" w:cstheme="majorBidi"/>
          <w:sz w:val="28"/>
          <w:szCs w:val="28"/>
        </w:rPr>
        <w:t>• Microbial interactions: Antibiotic production in bacteria is often stimulated by competition in crowded environments.</w:t>
      </w:r>
    </w:p>
    <w:p w14:paraId="694BB6D6">
      <w:pPr>
        <w:spacing w:line="360" w:lineRule="auto"/>
        <w:jc w:val="both"/>
        <w:rPr>
          <w:rFonts w:asciiTheme="majorBidi" w:hAnsiTheme="majorBidi" w:cstheme="majorBidi"/>
          <w:sz w:val="28"/>
          <w:szCs w:val="28"/>
        </w:rPr>
      </w:pPr>
      <w:r>
        <w:rPr>
          <w:rFonts w:asciiTheme="majorBidi" w:hAnsiTheme="majorBidi" w:cstheme="majorBidi"/>
          <w:sz w:val="28"/>
          <w:szCs w:val="28"/>
        </w:rPr>
        <w:drawing>
          <wp:inline distT="114300" distB="114300" distL="114300" distR="114300">
            <wp:extent cx="5730875" cy="3600450"/>
            <wp:effectExtent l="0" t="0" r="3175" b="0"/>
            <wp:docPr id="7" name="image5.jpg"/>
            <wp:cNvGraphicFramePr/>
            <a:graphic xmlns:a="http://schemas.openxmlformats.org/drawingml/2006/main">
              <a:graphicData uri="http://schemas.openxmlformats.org/drawingml/2006/picture">
                <pic:pic xmlns:pic="http://schemas.openxmlformats.org/drawingml/2006/picture">
                  <pic:nvPicPr>
                    <pic:cNvPr id="7" name="image5.jpg"/>
                    <pic:cNvPicPr preferRelativeResize="0"/>
                  </pic:nvPicPr>
                  <pic:blipFill>
                    <a:blip r:embed="rId6"/>
                    <a:srcRect/>
                    <a:stretch>
                      <a:fillRect/>
                    </a:stretch>
                  </pic:blipFill>
                  <pic:spPr>
                    <a:xfrm>
                      <a:off x="0" y="0"/>
                      <a:ext cx="5731202" cy="3600655"/>
                    </a:xfrm>
                    <a:prstGeom prst="rect">
                      <a:avLst/>
                    </a:prstGeom>
                  </pic:spPr>
                </pic:pic>
              </a:graphicData>
            </a:graphic>
          </wp:inline>
        </w:drawing>
      </w:r>
    </w:p>
    <w:p w14:paraId="7F9F5616">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Integrated Pathways</w:t>
      </w:r>
    </w:p>
    <w:p w14:paraId="20CBB381">
      <w:pPr>
        <w:spacing w:line="360" w:lineRule="auto"/>
        <w:jc w:val="both"/>
        <w:rPr>
          <w:rFonts w:asciiTheme="majorBidi" w:hAnsiTheme="majorBidi" w:cstheme="majorBidi"/>
          <w:sz w:val="28"/>
          <w:szCs w:val="28"/>
        </w:rPr>
      </w:pPr>
      <w:r>
        <w:rPr>
          <w:rFonts w:asciiTheme="majorBidi" w:hAnsiTheme="majorBidi" w:cstheme="majorBidi"/>
          <w:sz w:val="28"/>
          <w:szCs w:val="28"/>
        </w:rPr>
        <w:t>integrated pathways refer to the combination of two or more biosynthetic routes — mainly the shikimate, acetate (polyketide), and mevalonate pathways — that work together to form complex secondary metabolites.</w:t>
      </w:r>
    </w:p>
    <w:p w14:paraId="68B55ABF">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Examples on these pathways</w:t>
      </w:r>
    </w:p>
    <w:p w14:paraId="106748AD">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Ergot alkaloids → combine shikimate (tryptophan) and acetate (polyketide) origins.</w:t>
      </w:r>
    </w:p>
    <w:p w14:paraId="655BCEEA">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Taxol (terpenoid alkaloid) → integrates mevalonate (terpenoid) and nitrogen metabolism.</w:t>
      </w:r>
    </w:p>
    <w:p w14:paraId="281D8F11">
      <w:pPr>
        <w:spacing w:line="360" w:lineRule="auto"/>
        <w:jc w:val="both"/>
        <w:rPr>
          <w:rFonts w:asciiTheme="majorBidi" w:hAnsiTheme="majorBidi" w:cstheme="majorBidi"/>
          <w:sz w:val="28"/>
          <w:szCs w:val="28"/>
        </w:rPr>
      </w:pPr>
      <w:r>
        <w:rPr>
          <w:rFonts w:eastAsia="Arial Unicode MS" w:asciiTheme="majorBidi" w:hAnsiTheme="majorBidi" w:cstheme="majorBidi"/>
          <w:sz w:val="28"/>
          <w:szCs w:val="28"/>
        </w:rPr>
        <w:t>• Vinblastine and vincristine → formed by merging indole (tryptophan) and terpenoid units.</w:t>
      </w:r>
    </w:p>
    <w:p w14:paraId="39025D9D">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Why integration happens</w:t>
      </w:r>
    </w:p>
    <w:p w14:paraId="2ACE15F2">
      <w:pPr>
        <w:spacing w:line="360" w:lineRule="auto"/>
        <w:jc w:val="both"/>
        <w:rPr>
          <w:rFonts w:asciiTheme="majorBidi" w:hAnsiTheme="majorBidi" w:cstheme="majorBidi"/>
          <w:sz w:val="28"/>
          <w:szCs w:val="28"/>
        </w:rPr>
      </w:pPr>
      <w:r>
        <w:rPr>
          <w:rFonts w:asciiTheme="majorBidi" w:hAnsiTheme="majorBidi" w:cstheme="majorBidi"/>
          <w:sz w:val="28"/>
          <w:szCs w:val="28"/>
        </w:rPr>
        <w:t>• To increase chemical diversity and ecological adaptability.</w:t>
      </w:r>
    </w:p>
    <w:p w14:paraId="3F2CAA73">
      <w:pPr>
        <w:spacing w:line="360" w:lineRule="auto"/>
        <w:jc w:val="both"/>
        <w:rPr>
          <w:rFonts w:asciiTheme="majorBidi" w:hAnsiTheme="majorBidi" w:cstheme="majorBidi"/>
          <w:sz w:val="28"/>
          <w:szCs w:val="28"/>
        </w:rPr>
      </w:pPr>
      <w:r>
        <w:rPr>
          <w:rFonts w:asciiTheme="majorBidi" w:hAnsiTheme="majorBidi" w:cstheme="majorBidi"/>
          <w:sz w:val="28"/>
          <w:szCs w:val="28"/>
        </w:rPr>
        <w:t>• To produce specialized metabolites with complex biological functions (e.g., anticancer, antimicrobial).</w:t>
      </w:r>
    </w:p>
    <w:p w14:paraId="4E5DD66B">
      <w:pPr>
        <w:spacing w:line="360" w:lineRule="auto"/>
        <w:jc w:val="both"/>
        <w:rPr>
          <w:rFonts w:asciiTheme="majorBidi" w:hAnsiTheme="majorBidi" w:cstheme="majorBidi"/>
          <w:sz w:val="28"/>
          <w:szCs w:val="28"/>
        </w:rPr>
      </w:pPr>
      <w:r>
        <w:rPr>
          <w:rFonts w:asciiTheme="majorBidi" w:hAnsiTheme="majorBidi" w:cstheme="majorBidi"/>
          <w:sz w:val="28"/>
          <w:szCs w:val="28"/>
        </w:rPr>
        <w:t>• To optimize energy use, since shared intermediates reduce metabolic cost.</w:t>
      </w:r>
    </w:p>
    <w:p w14:paraId="53ECF22F">
      <w:pPr>
        <w:spacing w:line="360" w:lineRule="auto"/>
        <w:jc w:val="both"/>
        <w:rPr>
          <w:rFonts w:asciiTheme="majorBidi" w:hAnsiTheme="majorBidi" w:cstheme="majorBidi"/>
          <w:sz w:val="28"/>
          <w:szCs w:val="28"/>
        </w:rPr>
      </w:pPr>
    </w:p>
    <w:p w14:paraId="0CAC7678">
      <w:pPr>
        <w:spacing w:line="360" w:lineRule="auto"/>
        <w:jc w:val="both"/>
        <w:rPr>
          <w:rFonts w:asciiTheme="majorBidi" w:hAnsiTheme="majorBidi" w:cstheme="majorBidi"/>
          <w:sz w:val="28"/>
          <w:szCs w:val="28"/>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5A05D3"/>
    <w:multiLevelType w:val="multilevel"/>
    <w:tmpl w:val="5D5A05D3"/>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720" w:hanging="360"/>
      </w:pPr>
      <w:rPr>
        <w:rFonts w:hint="default" w:ascii="Courier New" w:hAnsi="Courier New"/>
      </w:rPr>
    </w:lvl>
    <w:lvl w:ilvl="2" w:tentative="0">
      <w:start w:val="1"/>
      <w:numFmt w:val="bullet"/>
      <w:lvlText w:val=""/>
      <w:lvlJc w:val="left"/>
      <w:pPr>
        <w:ind w:left="1080" w:hanging="360"/>
      </w:pPr>
      <w:rPr>
        <w:rFonts w:hint="default" w:ascii="Wingdings" w:hAnsi="Wingdings"/>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718"/>
    <w:rsid w:val="0024638B"/>
    <w:rsid w:val="002902EC"/>
    <w:rsid w:val="002A7F8E"/>
    <w:rsid w:val="003625B1"/>
    <w:rsid w:val="00365201"/>
    <w:rsid w:val="00546C2D"/>
    <w:rsid w:val="00602113"/>
    <w:rsid w:val="006A65C7"/>
    <w:rsid w:val="006D3176"/>
    <w:rsid w:val="00732718"/>
    <w:rsid w:val="0073684E"/>
    <w:rsid w:val="00796E53"/>
    <w:rsid w:val="00901689"/>
    <w:rsid w:val="0091368C"/>
    <w:rsid w:val="00920B9E"/>
    <w:rsid w:val="009232CE"/>
    <w:rsid w:val="00977D95"/>
    <w:rsid w:val="00993F90"/>
    <w:rsid w:val="009D086F"/>
    <w:rsid w:val="00A12E0D"/>
    <w:rsid w:val="00CF5E5D"/>
    <w:rsid w:val="00EC0A72"/>
    <w:rsid w:val="00EE130C"/>
    <w:rsid w:val="00F10BDE"/>
    <w:rsid w:val="00F71798"/>
    <w:rsid w:val="00FC6DC9"/>
    <w:rsid w:val="7FEE10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7"/>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Strong"/>
    <w:basedOn w:val="3"/>
    <w:qFormat/>
    <w:uiPriority w:val="22"/>
    <w:rPr>
      <w:b/>
      <w:bCs/>
    </w:rPr>
  </w:style>
  <w:style w:type="paragraph" w:styleId="6">
    <w:name w:val="List Paragraph"/>
    <w:basedOn w:val="1"/>
    <w:qFormat/>
    <w:uiPriority w:val="0"/>
    <w:pPr>
      <w:ind w:left="720"/>
      <w:contextualSpacing/>
    </w:pPr>
  </w:style>
  <w:style w:type="character" w:customStyle="1" w:styleId="7">
    <w:name w:val="Heading 2 Char"/>
    <w:basedOn w:val="3"/>
    <w:link w:val="2"/>
    <w:qFormat/>
    <w:uiPriority w:val="9"/>
    <w:rPr>
      <w:rFonts w:asciiTheme="majorHAnsi" w:hAnsiTheme="majorHAnsi" w:eastAsiaTheme="majorEastAsia" w:cstheme="majorBidi"/>
      <w:color w:val="2F5597" w:themeColor="accent1" w:themeShade="BF"/>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676</Words>
  <Characters>4700</Characters>
  <Lines>40</Lines>
  <Paragraphs>11</Paragraphs>
  <TotalTime>3</TotalTime>
  <ScaleCrop>false</ScaleCrop>
  <LinksUpToDate>false</LinksUpToDate>
  <CharactersWithSpaces>5700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2026-09-16T17:14:00Z</dcterms:created>
  <dc:creator>muntazer majed</dc:creator>
  <cp:lastModifiedBy>hp</cp:lastModifiedBy>
  <dcterms:modified xsi:type="dcterms:W3CDTF">2026-09-25T11:58:30Z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eyJoZGlkIjoiZGE3Y2I3OTRlNTA1NjUwZGY1NGI3NTM4NWZhMGI4N2IifQ==</vt:lpwstr>
  </property>
  <property fmtid="{D5CDD505-2E9C-101B-9397-08002B2CF9AE}" pid="3" name="KSOProductBuildVer">
    <vt:lpwstr>1033-12.1.0.28485</vt:lpwstr>
  </property>
  <property fmtid="{D5CDD505-2E9C-101B-9397-08002B2CF9AE}" pid="4" name="ICV">
    <vt:lpwstr>918A5EA498C5435C99E27FFED1E5987A_12</vt:lpwstr>
  </property>
</Properties>
</file>