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E8714" w14:textId="3B87C95F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Microbial Antibiotics </w:t>
      </w:r>
    </w:p>
    <w:p w14:paraId="2E50CEFA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>• Microbial antibiotics are secondary metabolites produced by bacteria, fungi, and actinomycetes.</w:t>
      </w:r>
    </w:p>
    <w:p w14:paraId="6D2115F3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>• They are not essential for microbial growth but provide ecological advantages, such as inhibiting competitors or pathogens.</w:t>
      </w:r>
    </w:p>
    <w:p w14:paraId="2953EFE8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>• Examples: Penicillin, Streptomycin, Tetracycline, Erythromycin, Vancomycin.</w:t>
      </w:r>
    </w:p>
    <w:p w14:paraId="14276F06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8BDAC47" w14:textId="12F48131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Biosynthetic Pathways</w:t>
      </w:r>
    </w:p>
    <w:p w14:paraId="54D393AC" w14:textId="490CF65D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1. Beta‑lactam Antibiotics</w:t>
      </w:r>
    </w:p>
    <w:p w14:paraId="53D52153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Amino acids (valine, cysteine).</w:t>
      </w:r>
    </w:p>
    <w:p w14:paraId="326C3FF3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Pathway: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Non‑ribosomal peptide synthetases (NRPS).</w:t>
      </w:r>
    </w:p>
    <w:p w14:paraId="7DDE1C19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Steps: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Tripeptide ACV → cyclization → </w:t>
      </w:r>
      <w:r w:rsidRPr="00F3787A">
        <w:rPr>
          <w:rFonts w:asciiTheme="majorBidi" w:eastAsia="Arial Unicode MS" w:hAnsiTheme="majorBidi" w:cstheme="majorBidi"/>
          <w:sz w:val="28"/>
          <w:szCs w:val="28"/>
        </w:rPr>
        <w:t>β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‑lactam ring → tailoring → penicillin/cephalosporin.</w:t>
      </w:r>
    </w:p>
    <w:p w14:paraId="4CE8EE95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1AFE4141" w14:textId="11542528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2. Aminoglycosides</w:t>
      </w:r>
    </w:p>
    <w:p w14:paraId="271A0ED7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Sugar nucleotides (glucose derivatives).</w:t>
      </w:r>
    </w:p>
    <w:p w14:paraId="2DB818BC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Pathway: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Glycosylation reactions.</w:t>
      </w:r>
    </w:p>
    <w:p w14:paraId="0A99BAD8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Steps: </w:t>
      </w:r>
      <w:proofErr w:type="spellStart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Streptidine</w:t>
      </w:r>
      <w:proofErr w:type="spellEnd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core → addition of unusual sugars → streptomycin.</w:t>
      </w:r>
    </w:p>
    <w:p w14:paraId="46A19C14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7174815C" w14:textId="64221B10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3. Tetracyclines</w:t>
      </w:r>
    </w:p>
    <w:p w14:paraId="1D939A0A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Acetate/malonate units.</w:t>
      </w:r>
    </w:p>
    <w:p w14:paraId="42892F99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Pathway: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Polyketide synthase (PKS).</w:t>
      </w:r>
    </w:p>
    <w:p w14:paraId="23F3E2BD" w14:textId="75B021C5" w:rsidR="00F3787A" w:rsidRDefault="00F3787A" w:rsidP="00F3787A">
      <w:pPr>
        <w:spacing w:line="360" w:lineRule="auto"/>
        <w:rPr>
          <w:rFonts w:asciiTheme="majorBidi" w:eastAsia="Arial Unicode MS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Steps: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Sequential condensation → tetracyclic scaffold → hydroxyl/methyl tailoring.</w:t>
      </w:r>
    </w:p>
    <w:p w14:paraId="010C8313" w14:textId="634508D7" w:rsid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6A711D4F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5E4E448D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11AFA638" w14:textId="0B75231C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lastRenderedPageBreak/>
        <w:t>4. Macrolides</w:t>
      </w:r>
    </w:p>
    <w:p w14:paraId="1A8876E8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Acetate/propionate units.</w:t>
      </w:r>
    </w:p>
    <w:p w14:paraId="00465D7B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Pathway: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PKS.</w:t>
      </w:r>
    </w:p>
    <w:p w14:paraId="267CD7D4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Steps: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Chain elongation → macrocyclic lactone → glycosylation → erythromycin.</w:t>
      </w:r>
    </w:p>
    <w:p w14:paraId="1E70B6F0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1C5FEE42" w14:textId="27D0AB09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5. Glycopeptides</w:t>
      </w:r>
    </w:p>
    <w:p w14:paraId="274427FB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Aromatic amino acids.</w:t>
      </w:r>
    </w:p>
    <w:p w14:paraId="7CBE7F07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Pathway: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NRPS.</w:t>
      </w:r>
    </w:p>
    <w:p w14:paraId="331C2E3F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Steps: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Peptide backbone assembly → cross‑linking → glycosylation → vancomycin.</w:t>
      </w:r>
    </w:p>
    <w:p w14:paraId="5B2706B8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0339A6E6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3787A">
        <w:rPr>
          <w:rFonts w:asciiTheme="majorBidi" w:hAnsiTheme="majorBidi" w:cstheme="majorBidi"/>
          <w:noProof/>
          <w:sz w:val="28"/>
          <w:szCs w:val="28"/>
        </w:rPr>
        <w:drawing>
          <wp:inline distT="114300" distB="114300" distL="114300" distR="114300" wp14:anchorId="0231F997" wp14:editId="5240BA32">
            <wp:extent cx="5731200" cy="3822700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C4882A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14:paraId="6EEF8437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14:paraId="40D39A2A" w14:textId="107E4D8C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lastRenderedPageBreak/>
        <w:t xml:space="preserve">Microbial Pigments </w:t>
      </w:r>
    </w:p>
    <w:p w14:paraId="075BDFEB" w14:textId="5871B246" w:rsidR="00F3787A" w:rsidRPr="00F3787A" w:rsidRDefault="00F3787A" w:rsidP="00F3787A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>Microbial pigments are colored secondary metabolites produced by bacteria, fungi, and actinomycetes.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They are not essential for growth but play protective, ecological, and physiological roles, such as shielding cells from UV radiation, oxidative stress, and predators.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Common examples include melanin, carotenoids, prodigiosin, violacein, and pyocyanin.</w:t>
      </w:r>
    </w:p>
    <w:p w14:paraId="147DEADA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59E6B023" w14:textId="580D10CB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Biosynthetic Pathways</w:t>
      </w:r>
    </w:p>
    <w:p w14:paraId="5837EB88" w14:textId="084A31FD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1. Carotenoids</w:t>
      </w:r>
    </w:p>
    <w:p w14:paraId="745397FF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• Origin: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Acetyl‑CoA → Mevalonate pathway.</w:t>
      </w:r>
    </w:p>
    <w:p w14:paraId="45FB0F71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• Pathway: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Isoprenoid (terpenoid) biosynthesis.</w:t>
      </w:r>
    </w:p>
    <w:p w14:paraId="4B8C3AFE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• Steps: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Acetyl‑CoA → </w:t>
      </w:r>
      <w:proofErr w:type="spellStart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Mevalonic</w:t>
      </w:r>
      <w:proofErr w:type="spellEnd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acid → Isopentenyl pyrophosphate (IPP).</w:t>
      </w:r>
    </w:p>
    <w:p w14:paraId="5DBFED0D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• IPP condensation → Geranylgeranyl pyrophosphate (GGPP).</w:t>
      </w:r>
    </w:p>
    <w:p w14:paraId="26F5F034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• Cyclization → Carotenoid pigments (</w:t>
      </w:r>
      <w:r w:rsidRPr="00F3787A">
        <w:rPr>
          <w:rFonts w:asciiTheme="majorBidi" w:eastAsia="Arial Unicode MS" w:hAnsiTheme="majorBidi" w:cstheme="majorBidi"/>
          <w:sz w:val="28"/>
          <w:szCs w:val="28"/>
        </w:rPr>
        <w:t>β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‑carotene, astaxanthin).</w:t>
      </w:r>
    </w:p>
    <w:p w14:paraId="440CC49F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7E57B434" w14:textId="216C679E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2. Melanin</w:t>
      </w:r>
    </w:p>
    <w:p w14:paraId="05A91FA9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Aromatic amino acids (tyrosine, phenylalanine).</w:t>
      </w:r>
    </w:p>
    <w:p w14:paraId="4430581B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Pathway: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Shikimate pathway → Tyrosine metabolism.</w:t>
      </w:r>
    </w:p>
    <w:p w14:paraId="0DB0E91D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Steps: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Tyrosine → DOPA → </w:t>
      </w:r>
      <w:proofErr w:type="spellStart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DOPAquinone</w:t>
      </w:r>
      <w:proofErr w:type="spellEnd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→ polymerization → Melanin.</w:t>
      </w:r>
    </w:p>
    <w:p w14:paraId="56EBC730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Enzyme: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Tyrosinase catalyzes oxidation and polymerization.</w:t>
      </w:r>
    </w:p>
    <w:p w14:paraId="2E456B7C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04C7C4AE" w14:textId="56CFCE6C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3. Prodigiosin</w:t>
      </w:r>
    </w:p>
    <w:p w14:paraId="7ED10C5E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Amino acid and acetate precursors.</w:t>
      </w:r>
    </w:p>
    <w:p w14:paraId="34D46517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Pathway: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Hybrid PKS/NRPS system.</w:t>
      </w:r>
    </w:p>
    <w:p w14:paraId="5336EF68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proofErr w:type="gramStart"/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Steps: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•</w:t>
      </w:r>
      <w:proofErr w:type="gramEnd"/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Pyrrole ring formation → condensation with secondary amine → Prodigiosin pigment.</w:t>
      </w:r>
    </w:p>
    <w:p w14:paraId="7D8B50A1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>• Produced by Serratia marcescens.</w:t>
      </w:r>
    </w:p>
    <w:p w14:paraId="64A1273F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5BC0367E" w14:textId="7D2EDDA5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4. Violacein</w:t>
      </w:r>
    </w:p>
    <w:p w14:paraId="77F76765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Tryptophan.</w:t>
      </w:r>
    </w:p>
    <w:p w14:paraId="694695E9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Pathway: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Shikimate‑derived indole pathway.</w:t>
      </w:r>
    </w:p>
    <w:p w14:paraId="53F1EE2D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Steps: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Tryptophan → Indole‑3‑pyruvic acid → oxidative coupling → Violacein.</w:t>
      </w:r>
    </w:p>
    <w:p w14:paraId="034B08B9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Enzymes: </w:t>
      </w:r>
      <w:proofErr w:type="spellStart"/>
      <w:r w:rsidRPr="00F3787A">
        <w:rPr>
          <w:rFonts w:asciiTheme="majorBidi" w:hAnsiTheme="majorBidi" w:cstheme="majorBidi"/>
          <w:sz w:val="28"/>
          <w:szCs w:val="28"/>
          <w:lang w:val="en-US"/>
        </w:rPr>
        <w:t>VioA</w:t>
      </w:r>
      <w:proofErr w:type="spellEnd"/>
      <w:r w:rsidRPr="00F3787A">
        <w:rPr>
          <w:rFonts w:asciiTheme="majorBidi" w:hAnsiTheme="majorBidi" w:cstheme="majorBidi"/>
          <w:sz w:val="28"/>
          <w:szCs w:val="28"/>
          <w:lang w:val="en-US"/>
        </w:rPr>
        <w:t>–</w:t>
      </w:r>
      <w:proofErr w:type="spellStart"/>
      <w:r w:rsidRPr="00F3787A">
        <w:rPr>
          <w:rFonts w:asciiTheme="majorBidi" w:hAnsiTheme="majorBidi" w:cstheme="majorBidi"/>
          <w:sz w:val="28"/>
          <w:szCs w:val="28"/>
          <w:lang w:val="en-US"/>
        </w:rPr>
        <w:t>VioE</w:t>
      </w:r>
      <w:proofErr w:type="spellEnd"/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gene cluster.</w:t>
      </w:r>
    </w:p>
    <w:p w14:paraId="709A428C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0A873AD1" w14:textId="09FA1009" w:rsidR="00F3787A" w:rsidRPr="00F3787A" w:rsidRDefault="00F3787A" w:rsidP="00F3787A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5. Phenazines (Pyocyanin)</w:t>
      </w:r>
    </w:p>
    <w:p w14:paraId="00E8221F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Origin: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Chorismic acid (from shikimate pathway).</w:t>
      </w:r>
    </w:p>
    <w:p w14:paraId="6471A998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Pathway: 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>Phenazine biosynthesis.</w:t>
      </w:r>
    </w:p>
    <w:p w14:paraId="77841E1C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F3787A">
        <w:rPr>
          <w:rFonts w:asciiTheme="majorBidi" w:hAnsiTheme="majorBidi" w:cstheme="majorBidi"/>
          <w:b/>
          <w:bCs/>
          <w:sz w:val="28"/>
          <w:szCs w:val="28"/>
          <w:lang w:val="en-US"/>
        </w:rPr>
        <w:t>Steps:</w:t>
      </w:r>
      <w:r w:rsidRPr="00F3787A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F3787A">
        <w:rPr>
          <w:rFonts w:asciiTheme="majorBidi" w:eastAsia="Arial Unicode MS" w:hAnsiTheme="majorBidi" w:cstheme="majorBidi"/>
          <w:sz w:val="28"/>
          <w:szCs w:val="28"/>
          <w:lang w:val="en-US"/>
        </w:rPr>
        <w:t>Chorismic acid → phenazine‑1‑carboxylic acid → methylation → Pyocyanin.</w:t>
      </w:r>
    </w:p>
    <w:p w14:paraId="22840113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3787A">
        <w:rPr>
          <w:rFonts w:asciiTheme="majorBidi" w:hAnsiTheme="majorBidi" w:cstheme="majorBidi"/>
          <w:sz w:val="28"/>
          <w:szCs w:val="28"/>
        </w:rPr>
        <w:t xml:space="preserve">• </w:t>
      </w:r>
      <w:proofErr w:type="spellStart"/>
      <w:r w:rsidRPr="00F3787A">
        <w:rPr>
          <w:rFonts w:asciiTheme="majorBidi" w:hAnsiTheme="majorBidi" w:cstheme="majorBidi"/>
          <w:sz w:val="28"/>
          <w:szCs w:val="28"/>
        </w:rPr>
        <w:t>Produced</w:t>
      </w:r>
      <w:proofErr w:type="spellEnd"/>
      <w:r w:rsidRPr="00F3787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3787A">
        <w:rPr>
          <w:rFonts w:asciiTheme="majorBidi" w:hAnsiTheme="majorBidi" w:cstheme="majorBidi"/>
          <w:sz w:val="28"/>
          <w:szCs w:val="28"/>
        </w:rPr>
        <w:t>by</w:t>
      </w:r>
      <w:proofErr w:type="spellEnd"/>
      <w:r w:rsidRPr="00F3787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3787A">
        <w:rPr>
          <w:rFonts w:asciiTheme="majorBidi" w:hAnsiTheme="majorBidi" w:cstheme="majorBidi"/>
          <w:i/>
          <w:iCs/>
          <w:sz w:val="28"/>
          <w:szCs w:val="28"/>
        </w:rPr>
        <w:t>Pseudomonas</w:t>
      </w:r>
      <w:proofErr w:type="spellEnd"/>
      <w:r w:rsidRPr="00F3787A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F3787A">
        <w:rPr>
          <w:rFonts w:asciiTheme="majorBidi" w:hAnsiTheme="majorBidi" w:cstheme="majorBidi"/>
          <w:i/>
          <w:iCs/>
          <w:sz w:val="28"/>
          <w:szCs w:val="28"/>
        </w:rPr>
        <w:t>aeruginosa</w:t>
      </w:r>
      <w:proofErr w:type="spellEnd"/>
      <w:r w:rsidRPr="00F3787A">
        <w:rPr>
          <w:rFonts w:asciiTheme="majorBidi" w:hAnsiTheme="majorBidi" w:cstheme="majorBidi"/>
          <w:i/>
          <w:iCs/>
          <w:sz w:val="28"/>
          <w:szCs w:val="28"/>
        </w:rPr>
        <w:t>.</w:t>
      </w:r>
    </w:p>
    <w:p w14:paraId="3D29F4C5" w14:textId="77777777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14:paraId="5091BDFA" w14:textId="679BD589" w:rsidR="00F3787A" w:rsidRPr="00F3787A" w:rsidRDefault="00F3787A" w:rsidP="00F3787A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3787A">
        <w:rPr>
          <w:rFonts w:asciiTheme="majorBidi" w:hAnsiTheme="majorBidi" w:cstheme="majorBidi"/>
          <w:noProof/>
          <w:sz w:val="28"/>
          <w:szCs w:val="28"/>
        </w:rPr>
        <w:drawing>
          <wp:inline distT="114300" distB="114300" distL="114300" distR="114300" wp14:anchorId="1833EDAE" wp14:editId="1B31EAB4">
            <wp:extent cx="5734050" cy="3447286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472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C59E20" w14:textId="77777777" w:rsidR="00F3787A" w:rsidRPr="00F3787A" w:rsidRDefault="00F3787A" w:rsidP="00F3787A">
      <w:pPr>
        <w:spacing w:line="360" w:lineRule="auto"/>
      </w:pPr>
    </w:p>
    <w:sectPr w:rsidR="00F3787A" w:rsidRPr="00F3787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02EDD" w14:textId="77777777" w:rsidR="003D5065" w:rsidRDefault="003D5065" w:rsidP="00F3787A">
      <w:pPr>
        <w:spacing w:line="240" w:lineRule="auto"/>
      </w:pPr>
      <w:r>
        <w:separator/>
      </w:r>
    </w:p>
  </w:endnote>
  <w:endnote w:type="continuationSeparator" w:id="0">
    <w:p w14:paraId="66E95A05" w14:textId="77777777" w:rsidR="003D5065" w:rsidRDefault="003D5065" w:rsidP="00F37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0115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F46F7A" w14:textId="205D3443" w:rsidR="00F3787A" w:rsidRDefault="00F378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9CD68D" w14:textId="77777777" w:rsidR="00F3787A" w:rsidRDefault="00F378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7103B" w14:textId="77777777" w:rsidR="003D5065" w:rsidRDefault="003D5065" w:rsidP="00F3787A">
      <w:pPr>
        <w:spacing w:line="240" w:lineRule="auto"/>
      </w:pPr>
      <w:r>
        <w:separator/>
      </w:r>
    </w:p>
  </w:footnote>
  <w:footnote w:type="continuationSeparator" w:id="0">
    <w:p w14:paraId="2384B728" w14:textId="77777777" w:rsidR="003D5065" w:rsidRDefault="003D5065" w:rsidP="00F378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7A"/>
    <w:rsid w:val="003D5065"/>
    <w:rsid w:val="00F3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CAE2F"/>
  <w15:chartTrackingRefBased/>
  <w15:docId w15:val="{44C9DE22-E483-4E49-B1CD-7DFCF2C1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87A"/>
    <w:pPr>
      <w:spacing w:after="0" w:line="276" w:lineRule="auto"/>
    </w:pPr>
    <w:rPr>
      <w:rFonts w:ascii="Arial" w:eastAsia="Arial" w:hAnsi="Arial" w:cs="Arial"/>
      <w:lang w:val="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8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87A"/>
    <w:rPr>
      <w:rFonts w:ascii="Arial" w:eastAsia="Arial" w:hAnsi="Arial" w:cs="Arial"/>
      <w:lang w:val="ar"/>
    </w:rPr>
  </w:style>
  <w:style w:type="paragraph" w:styleId="Footer">
    <w:name w:val="footer"/>
    <w:basedOn w:val="Normal"/>
    <w:link w:val="FooterChar"/>
    <w:uiPriority w:val="99"/>
    <w:unhideWhenUsed/>
    <w:rsid w:val="00F378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87A"/>
    <w:rPr>
      <w:rFonts w:ascii="Arial" w:eastAsia="Arial" w:hAnsi="Arial" w:cs="Arial"/>
      <w:lang w:val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muntazer majed</dc:creator>
  <cp:keywords/>
  <dc:description/>
  <cp:lastModifiedBy>muntazer majed</cp:lastModifiedBy>
  <cp:revision>1</cp:revision>
  <dcterms:created xsi:type="dcterms:W3CDTF">2026-09-23T19:05:00Z</dcterms:created>
  <dcterms:modified xsi:type="dcterms:W3CDTF">2026-09-23T19:14:00Z</dcterms:modified>
</cp:coreProperties>
</file>