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CB" w:rsidRPr="00E40BCB" w:rsidRDefault="00E40BCB" w:rsidP="00E40BCB">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E40BCB">
        <w:rPr>
          <w:rFonts w:ascii="Arial" w:eastAsia="Times New Roman" w:hAnsi="Arial" w:cs="Arial"/>
          <w:color w:val="000000"/>
          <w:sz w:val="44"/>
          <w:szCs w:val="32"/>
          <w:rtl/>
        </w:rPr>
        <w:t>نطاق القاعدة القانونية</w:t>
      </w:r>
    </w:p>
    <w:p w:rsidR="00E40BCB" w:rsidRPr="00E40BCB" w:rsidRDefault="00E40BCB" w:rsidP="00E40BCB">
      <w:pPr>
        <w:shd w:val="clear" w:color="auto" w:fill="FFFFFF"/>
        <w:spacing w:before="96" w:after="120" w:line="432" w:lineRule="atLeast"/>
        <w:jc w:val="both"/>
        <w:rPr>
          <w:rFonts w:ascii="Arial" w:eastAsia="Times New Roman" w:hAnsi="Arial" w:cs="Arial"/>
          <w:color w:val="000000"/>
          <w:sz w:val="32"/>
          <w:szCs w:val="32"/>
        </w:rPr>
      </w:pPr>
      <w:r w:rsidRPr="00E40BCB">
        <w:rPr>
          <w:rFonts w:ascii="Arial" w:eastAsia="Times New Roman" w:hAnsi="Arial" w:cs="Arial"/>
          <w:color w:val="000000"/>
          <w:sz w:val="32"/>
          <w:szCs w:val="32"/>
          <w:rtl/>
        </w:rPr>
        <w:t>يختلف نطاق القاعدة القانونية إتساعاً أو ضيقاً بإختلاف الهدف أو الغاية من القانون, فإن كان الفرد هو غاية القانون ساد المذهب الفردى وإن كان الهدف من القانون هو حماية المجتمع وتغليب مصلحته على المصلحة الفردية فإن المذهب الاجتماعى هو الذى يسود. إذن نطاق القاعدة القانونية يتحدد بأحد مذهبين, المذهب الفردى أو المذهب الإجتماعى. أولاً:المذهب الفردى يقوم هذا المذهب على أن الفرد له حقوق طبيعية وسابقة على وجوده فى الجماعة وأن مصلحة الفرد هى الغاية والهدف من القانون وما الجماعة إلا نسيج صناعى يمارس كل فرد نشاطه من خلاله فمجموع مصالح الافراد ليس إلا كل لمصالح الجماعة. أى أن هناك عقد إجتماعى بين الفرد والدولة بمقتضاه تكفل الدولة للأفراد ممارسة حقوقهم السابقة على إنضمامهم للجماعه وذلك فى مقابل أن يتنازل عن القدر اللازم لإمكان ممارسة الآخرين لحقوقهم, وقد أدى هذا المذهب الى ظهور الأثار التالية:..... ‌أ</w:t>
      </w:r>
      <w:r w:rsidRPr="00E40BCB">
        <w:rPr>
          <w:rFonts w:ascii="Arial" w:eastAsia="Times New Roman" w:hAnsi="Arial" w:cs="Arial"/>
          <w:color w:val="000000"/>
          <w:sz w:val="32"/>
          <w:szCs w:val="32"/>
        </w:rPr>
        <w:t xml:space="preserve">- </w:t>
      </w:r>
      <w:r w:rsidRPr="00E40BCB">
        <w:rPr>
          <w:rFonts w:ascii="Arial" w:eastAsia="Times New Roman" w:hAnsi="Arial" w:cs="Arial"/>
          <w:color w:val="000000"/>
          <w:sz w:val="32"/>
          <w:szCs w:val="32"/>
          <w:rtl/>
        </w:rPr>
        <w:t>إعلاء مبدأ سلطان الإرادة فى التعاقد فأصبحت إرادة الفرد هى وحدها القادرة على إنشاء الإلتزامات وتعديلها وإنهائها وتقلص دور المشرع. ‌ب</w:t>
      </w:r>
      <w:r w:rsidRPr="00E40BCB">
        <w:rPr>
          <w:rFonts w:ascii="Arial" w:eastAsia="Times New Roman" w:hAnsi="Arial" w:cs="Arial"/>
          <w:color w:val="000000"/>
          <w:sz w:val="32"/>
          <w:szCs w:val="32"/>
        </w:rPr>
        <w:t xml:space="preserve">- </w:t>
      </w:r>
      <w:r w:rsidRPr="00E40BCB">
        <w:rPr>
          <w:rFonts w:ascii="Arial" w:eastAsia="Times New Roman" w:hAnsi="Arial" w:cs="Arial"/>
          <w:color w:val="000000"/>
          <w:sz w:val="32"/>
          <w:szCs w:val="32"/>
          <w:rtl/>
        </w:rPr>
        <w:t>إطلاق الحرية الإقتصادية أدى إلى ظهور إتحادات للمنتجين وأصبحت مصالح الفرد تعلو على مصالح الجماعة. ‌ج</w:t>
      </w:r>
      <w:r w:rsidRPr="00E40BCB">
        <w:rPr>
          <w:rFonts w:ascii="Arial" w:eastAsia="Times New Roman" w:hAnsi="Arial" w:cs="Arial"/>
          <w:color w:val="000000"/>
          <w:sz w:val="32"/>
          <w:szCs w:val="32"/>
        </w:rPr>
        <w:t xml:space="preserve">- </w:t>
      </w:r>
      <w:r w:rsidRPr="00E40BCB">
        <w:rPr>
          <w:rFonts w:ascii="Arial" w:eastAsia="Times New Roman" w:hAnsi="Arial" w:cs="Arial"/>
          <w:color w:val="000000"/>
          <w:sz w:val="32"/>
          <w:szCs w:val="32"/>
          <w:rtl/>
        </w:rPr>
        <w:t>تقلص دور القانون فى الدولة وإقتصار مهمته على حفظ النظام والأمن الاجتماعى فقط. ‌د</w:t>
      </w:r>
      <w:r w:rsidRPr="00E40BCB">
        <w:rPr>
          <w:rFonts w:ascii="Arial" w:eastAsia="Times New Roman" w:hAnsi="Arial" w:cs="Arial"/>
          <w:color w:val="000000"/>
          <w:sz w:val="32"/>
          <w:szCs w:val="32"/>
        </w:rPr>
        <w:t xml:space="preserve">- </w:t>
      </w:r>
      <w:r w:rsidRPr="00E40BCB">
        <w:rPr>
          <w:rFonts w:ascii="Arial" w:eastAsia="Times New Roman" w:hAnsi="Arial" w:cs="Arial"/>
          <w:color w:val="000000"/>
          <w:sz w:val="32"/>
          <w:szCs w:val="32"/>
          <w:rtl/>
        </w:rPr>
        <w:t>ظهور الحركات المقاومة لطغيان الحكام للبون الشديد بين الحرية السياسية عن الحرية الاقتصادية</w:t>
      </w:r>
      <w:r w:rsidRPr="00E40BCB">
        <w:rPr>
          <w:rFonts w:ascii="Arial" w:eastAsia="Times New Roman" w:hAnsi="Arial" w:cs="Arial"/>
          <w:color w:val="000000"/>
          <w:sz w:val="32"/>
          <w:szCs w:val="32"/>
        </w:rPr>
        <w:t>.</w:t>
      </w:r>
    </w:p>
    <w:p w:rsidR="00E40BCB" w:rsidRPr="00E40BCB" w:rsidRDefault="00E40BCB" w:rsidP="00E40BCB">
      <w:pPr>
        <w:shd w:val="clear" w:color="auto" w:fill="FFFFFF"/>
        <w:spacing w:before="72" w:after="0" w:line="432" w:lineRule="atLeast"/>
        <w:ind w:right="768"/>
        <w:jc w:val="both"/>
        <w:rPr>
          <w:rFonts w:ascii="Arial" w:eastAsia="Times New Roman" w:hAnsi="Arial" w:cs="Arial"/>
          <w:color w:val="000000"/>
          <w:sz w:val="32"/>
          <w:szCs w:val="32"/>
        </w:rPr>
      </w:pPr>
    </w:p>
    <w:p w:rsidR="00E40BCB" w:rsidRPr="00E40BCB" w:rsidRDefault="00E40BCB" w:rsidP="00E40BCB">
      <w:pPr>
        <w:numPr>
          <w:ilvl w:val="1"/>
          <w:numId w:val="1"/>
        </w:numPr>
        <w:shd w:val="clear" w:color="auto" w:fill="FFFFFF"/>
        <w:spacing w:before="100" w:beforeAutospacing="1" w:after="24" w:line="432" w:lineRule="atLeast"/>
        <w:ind w:left="0" w:right="768"/>
        <w:jc w:val="both"/>
        <w:rPr>
          <w:rFonts w:ascii="Arial" w:eastAsia="Times New Roman" w:hAnsi="Arial" w:cs="Arial"/>
          <w:color w:val="000000"/>
          <w:sz w:val="32"/>
          <w:szCs w:val="32"/>
        </w:rPr>
      </w:pPr>
      <w:r w:rsidRPr="00E40BCB">
        <w:rPr>
          <w:rFonts w:ascii="Arial" w:eastAsia="Times New Roman" w:hAnsi="Arial" w:cs="Arial"/>
          <w:color w:val="000000"/>
          <w:sz w:val="32"/>
          <w:szCs w:val="32"/>
          <w:rtl/>
        </w:rPr>
        <w:t>نقد هذا المذهب</w:t>
      </w:r>
      <w:r w:rsidRPr="00E40BCB">
        <w:rPr>
          <w:rFonts w:ascii="Arial" w:eastAsia="Times New Roman" w:hAnsi="Arial" w:cs="Arial"/>
          <w:color w:val="000000"/>
          <w:sz w:val="32"/>
          <w:szCs w:val="32"/>
        </w:rPr>
        <w:t>:</w:t>
      </w:r>
    </w:p>
    <w:p w:rsidR="00E40BCB" w:rsidRPr="00E40BCB" w:rsidRDefault="00E40BCB" w:rsidP="00E40BCB">
      <w:pPr>
        <w:shd w:val="clear" w:color="auto" w:fill="FFFFFF"/>
        <w:spacing w:before="96" w:after="120" w:line="432" w:lineRule="atLeast"/>
        <w:jc w:val="both"/>
        <w:rPr>
          <w:rFonts w:ascii="Arial" w:eastAsia="Times New Roman" w:hAnsi="Arial" w:cs="Arial"/>
          <w:color w:val="000000"/>
          <w:sz w:val="32"/>
          <w:szCs w:val="32"/>
        </w:rPr>
      </w:pPr>
      <w:r w:rsidRPr="00E40BCB">
        <w:rPr>
          <w:rFonts w:ascii="Arial" w:eastAsia="Times New Roman" w:hAnsi="Arial" w:cs="Arial"/>
          <w:color w:val="000000"/>
          <w:sz w:val="32"/>
          <w:szCs w:val="32"/>
          <w:rtl/>
        </w:rPr>
        <w:t xml:space="preserve">أ- يؤدى الأخذ بهذا المذهب إلى الشعور بالدونية الفردية والأنانية الفردية وإهمال مصالح الجماعة. ب- لا يمكن القول بوجود حقوق قبل نشاة الجماعة, لان الحق يقابله واجب وهذا الأخير يفترض وجود من يلتزم به. ج- تحكم فئة قليلة فى الجماعة فى مصالح الأفراد نتيجة تركيز النشاط الإقتصادى فى أيديهم وفرض شروط تعسفية على المستهلكين نتيجة مبدأ سلطان الإرادة. ثانياً:المذهب الاجتماعى إنتشر هذا المذهب فى البلدان الاشتراكية ويرتكز على أن مصالح الجماعة تعلو على مصلحة الفرد فالهدف هو تحقيق المصلحة العامة, فالفرد ليس إلا جزءاً من كيان الجماعة, وقد أدى الأخذ بهذا المذهب إلى توسيع نطاق القاعدة القانونية. وقد ترتب على الأخذ بهذا المذهب عديد من الأثار وهى ............ 1- بدأت فكرة العدل التوزيعى والتبادلى عن طريق تحميل الأفراد القادرين العديد من الأعباء </w:t>
      </w:r>
      <w:r w:rsidRPr="00E40BCB">
        <w:rPr>
          <w:rFonts w:ascii="Arial" w:eastAsia="Times New Roman" w:hAnsi="Arial" w:cs="Arial"/>
          <w:color w:val="000000"/>
          <w:sz w:val="32"/>
          <w:szCs w:val="32"/>
          <w:rtl/>
        </w:rPr>
        <w:lastRenderedPageBreak/>
        <w:t>لصالح غير القادرين عن طريق ضرائب وغيرها. 2- تقلص دور مبدأ سلطان الإرادة فى التعاقد فقد تدخلت الدولة فى وضع حد للأسعار وتنظيم ساعات للعمل ....... إلخ., فقد أدى هذا المذهب إلى تحقيق العدل العام على حساب العدل الخاص</w:t>
      </w:r>
      <w:r w:rsidRPr="00E40BCB">
        <w:rPr>
          <w:rFonts w:ascii="Arial" w:eastAsia="Times New Roman" w:hAnsi="Arial" w:cs="Arial"/>
          <w:color w:val="000000"/>
          <w:sz w:val="32"/>
          <w:szCs w:val="32"/>
        </w:rPr>
        <w:t>.</w:t>
      </w:r>
    </w:p>
    <w:p w:rsidR="00E40BCB" w:rsidRPr="00E40BCB" w:rsidRDefault="00E40BCB" w:rsidP="00E40BCB">
      <w:pPr>
        <w:shd w:val="clear" w:color="auto" w:fill="FFFFFF"/>
        <w:spacing w:before="72" w:after="0" w:line="432" w:lineRule="atLeast"/>
        <w:ind w:right="768"/>
        <w:jc w:val="both"/>
        <w:rPr>
          <w:rFonts w:ascii="Arial" w:eastAsia="Times New Roman" w:hAnsi="Arial" w:cs="Arial"/>
          <w:color w:val="000000"/>
          <w:sz w:val="32"/>
          <w:szCs w:val="32"/>
        </w:rPr>
      </w:pPr>
    </w:p>
    <w:p w:rsidR="00E40BCB" w:rsidRPr="00E40BCB" w:rsidRDefault="00E40BCB" w:rsidP="00E40BCB">
      <w:pPr>
        <w:numPr>
          <w:ilvl w:val="1"/>
          <w:numId w:val="2"/>
        </w:numPr>
        <w:shd w:val="clear" w:color="auto" w:fill="FFFFFF"/>
        <w:spacing w:before="100" w:beforeAutospacing="1" w:after="24" w:line="432" w:lineRule="atLeast"/>
        <w:ind w:left="0" w:right="768"/>
        <w:jc w:val="both"/>
        <w:rPr>
          <w:rFonts w:ascii="Arial" w:eastAsia="Times New Roman" w:hAnsi="Arial" w:cs="Arial"/>
          <w:color w:val="000000"/>
          <w:sz w:val="32"/>
          <w:szCs w:val="32"/>
        </w:rPr>
      </w:pPr>
      <w:r w:rsidRPr="00E40BCB">
        <w:rPr>
          <w:rFonts w:ascii="Arial" w:eastAsia="Times New Roman" w:hAnsi="Arial" w:cs="Arial"/>
          <w:color w:val="000000"/>
          <w:sz w:val="32"/>
          <w:szCs w:val="32"/>
          <w:rtl/>
        </w:rPr>
        <w:t>نقد المذهب الاجتماعى</w:t>
      </w:r>
      <w:r w:rsidRPr="00E40BCB">
        <w:rPr>
          <w:rFonts w:ascii="Arial" w:eastAsia="Times New Roman" w:hAnsi="Arial" w:cs="Arial"/>
          <w:color w:val="000000"/>
          <w:sz w:val="32"/>
          <w:szCs w:val="32"/>
        </w:rPr>
        <w:t>:</w:t>
      </w:r>
    </w:p>
    <w:p w:rsidR="00E40BCB" w:rsidRPr="00E40BCB" w:rsidRDefault="00E40BCB" w:rsidP="00E40BCB">
      <w:pPr>
        <w:shd w:val="clear" w:color="auto" w:fill="FFFFFF"/>
        <w:spacing w:before="96" w:after="120" w:line="432" w:lineRule="atLeast"/>
        <w:jc w:val="both"/>
        <w:rPr>
          <w:rFonts w:ascii="Arial" w:eastAsia="Times New Roman" w:hAnsi="Arial" w:cs="Arial"/>
          <w:color w:val="000000"/>
          <w:sz w:val="32"/>
          <w:szCs w:val="32"/>
        </w:rPr>
      </w:pPr>
      <w:r w:rsidRPr="00E40BCB">
        <w:rPr>
          <w:rFonts w:ascii="Arial" w:eastAsia="Times New Roman" w:hAnsi="Arial" w:cs="Arial"/>
          <w:color w:val="000000"/>
          <w:sz w:val="32"/>
          <w:szCs w:val="32"/>
          <w:rtl/>
        </w:rPr>
        <w:t>ذهب البعض إلى أن المذهب الاجتماعى قد يؤدى إلى طغيان السلطة العامة على الأفراد فينعدم كل نشاط للفرد داخل الجماعة فلا يوجد حافز لدى هؤلاء. فطالما اتسع نشاط الدولة وسلطانها فلا مجال لنشاط الأفراد. ولكننا نرى أن الأخذ بالمذهب الاجتماعى يؤدى إلى انتشار العدل الاجتماعى فى الدولة, فإذا تحقق الصالح العام فالبتبعية يتحقق الصالح الخاص وهذا ما أكدت عليه المحكمة الدستورية العليا عندما تصدت للعديد من السلطات الإستثنائية التى يمارسها المشرع لصالح الجماعة. ونلاحظ أن النظام الاشتراكى ظهر أثره فى إزدياد نشاط الدولة فى التدخل لصالح الأفراد بدايةً بقانون الاصلاح الزراعى مروراً بقوانين التموين وإيجار الأماكن..... فكل هذه التشريعات الاستثنائية أفصحت عن إزدياد القاعده القانونية فأصبح دور المشرع يعلو على الإرادة الفردية المتمثلة فى مبدأ سلطان الإرادة</w:t>
      </w:r>
      <w:r w:rsidRPr="00E40BCB">
        <w:rPr>
          <w:rFonts w:ascii="Arial" w:eastAsia="Times New Roman" w:hAnsi="Arial" w:cs="Arial"/>
          <w:color w:val="000000"/>
          <w:sz w:val="32"/>
          <w:szCs w:val="32"/>
        </w:rPr>
        <w:t>.</w:t>
      </w:r>
    </w:p>
    <w:p w:rsidR="00353E26" w:rsidRPr="00E40BCB" w:rsidRDefault="00353E26">
      <w:pPr>
        <w:rPr>
          <w:rFonts w:hint="cs"/>
          <w:lang w:bidi="ar-IQ"/>
        </w:rPr>
      </w:pPr>
    </w:p>
    <w:sectPr w:rsidR="00353E26" w:rsidRPr="00E40BCB"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A2"/>
    <w:multiLevelType w:val="multilevel"/>
    <w:tmpl w:val="D6EE1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8386B"/>
    <w:multiLevelType w:val="multilevel"/>
    <w:tmpl w:val="6CB61D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BCB"/>
    <w:rsid w:val="00353E26"/>
    <w:rsid w:val="00D67D1E"/>
    <w:rsid w:val="00E40B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26"/>
    <w:pPr>
      <w:bidi/>
    </w:pPr>
  </w:style>
  <w:style w:type="paragraph" w:styleId="Heading2">
    <w:name w:val="heading 2"/>
    <w:basedOn w:val="Normal"/>
    <w:link w:val="Heading2Char"/>
    <w:uiPriority w:val="9"/>
    <w:qFormat/>
    <w:rsid w:val="00E40B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BCB"/>
    <w:rPr>
      <w:rFonts w:ascii="Times New Roman" w:eastAsia="Times New Roman" w:hAnsi="Times New Roman" w:cs="Times New Roman"/>
      <w:b/>
      <w:bCs/>
      <w:sz w:val="36"/>
      <w:szCs w:val="36"/>
    </w:rPr>
  </w:style>
  <w:style w:type="character" w:customStyle="1" w:styleId="mw-headline">
    <w:name w:val="mw-headline"/>
    <w:basedOn w:val="DefaultParagraphFont"/>
    <w:rsid w:val="00E40BCB"/>
  </w:style>
  <w:style w:type="paragraph" w:styleId="NormalWeb">
    <w:name w:val="Normal (Web)"/>
    <w:basedOn w:val="Normal"/>
    <w:uiPriority w:val="99"/>
    <w:semiHidden/>
    <w:unhideWhenUsed/>
    <w:rsid w:val="00E40B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1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2017-03-18T03:55:00Z</dcterms:created>
  <dcterms:modified xsi:type="dcterms:W3CDTF">2017-03-18T03:56:00Z</dcterms:modified>
</cp:coreProperties>
</file>