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FC" w:rsidRPr="008D375B" w:rsidRDefault="003934FC" w:rsidP="003934FC">
      <w:pPr>
        <w:pStyle w:val="1-2"/>
        <w:shd w:val="clear" w:color="auto" w:fill="FFFFFF"/>
        <w:bidi/>
        <w:spacing w:before="0" w:beforeAutospacing="0" w:after="368" w:afterAutospacing="0" w:line="368" w:lineRule="atLeast"/>
        <w:jc w:val="center"/>
        <w:rPr>
          <w:rFonts w:ascii="Traditional Arabic" w:hAnsi="Traditional Arabic" w:cs="Traditional Arabic"/>
          <w:color w:val="000000" w:themeColor="text1"/>
          <w:sz w:val="36"/>
          <w:szCs w:val="36"/>
          <w:rtl/>
        </w:rPr>
      </w:pPr>
      <w:r w:rsidRPr="008D375B">
        <w:rPr>
          <w:rFonts w:ascii="Traditional Arabic" w:hAnsi="Traditional Arabic" w:cs="Traditional Arabic"/>
          <w:color w:val="000000" w:themeColor="text1"/>
          <w:sz w:val="36"/>
          <w:szCs w:val="36"/>
          <w:rtl/>
        </w:rPr>
        <w:t>الإدارة العامة والقانون الإداري:</w:t>
      </w:r>
    </w:p>
    <w:p w:rsidR="003934FC" w:rsidRPr="008D375B" w:rsidRDefault="003934FC" w:rsidP="003934FC">
      <w:pPr>
        <w:shd w:val="clear" w:color="auto" w:fill="FFFFFF"/>
        <w:spacing w:after="368" w:line="368" w:lineRule="atLeast"/>
        <w:jc w:val="both"/>
        <w:rPr>
          <w:rFonts w:ascii="Traditional Arabic" w:hAnsi="Traditional Arabic" w:cs="Traditional Arabic"/>
          <w:color w:val="000000" w:themeColor="text1"/>
          <w:sz w:val="36"/>
          <w:szCs w:val="36"/>
          <w:rtl/>
        </w:rPr>
      </w:pPr>
      <w:r w:rsidRPr="008D375B">
        <w:rPr>
          <w:rFonts w:ascii="Traditional Arabic" w:hAnsi="Traditional Arabic" w:cs="Traditional Arabic"/>
          <w:color w:val="000000" w:themeColor="text1"/>
          <w:sz w:val="36"/>
          <w:szCs w:val="36"/>
          <w:rtl/>
        </w:rPr>
        <w:t>الحقيقة أن الإدارة العامة بمدلولها الوظيفي والعضوي تمثل قطب الرحى في دراسة كل من علم الإدارة العامة والقانون الإداري. ذلك أن علم الإدارة العامة يتضمن مجموعة المبادئ والأساليب العلمية التي تطبق على الإدارة منظمة أو نشاطاً؛ أي تبعاً لمدلولها العضوي والموضوعي مثل مبادئ التنظيم والقيادة والرقابة.</w:t>
      </w:r>
    </w:p>
    <w:p w:rsidR="003934FC" w:rsidRPr="008D375B" w:rsidRDefault="003934FC" w:rsidP="003934FC">
      <w:pPr>
        <w:shd w:val="clear" w:color="auto" w:fill="FFFFFF"/>
        <w:spacing w:after="368" w:line="368" w:lineRule="atLeast"/>
        <w:jc w:val="both"/>
        <w:rPr>
          <w:rFonts w:ascii="Traditional Arabic" w:hAnsi="Traditional Arabic" w:cs="Traditional Arabic"/>
          <w:color w:val="000000" w:themeColor="text1"/>
          <w:sz w:val="36"/>
          <w:szCs w:val="36"/>
          <w:rtl/>
        </w:rPr>
      </w:pPr>
      <w:r w:rsidRPr="008D375B">
        <w:rPr>
          <w:rFonts w:ascii="Traditional Arabic" w:hAnsi="Traditional Arabic" w:cs="Traditional Arabic"/>
          <w:color w:val="000000" w:themeColor="text1"/>
          <w:sz w:val="36"/>
          <w:szCs w:val="36"/>
          <w:rtl/>
        </w:rPr>
        <w:t>وكذلك يتضمن القانون الإداري مجموعة القواعد القانونية التي تطبق على الإدارة نفسها سواء أقصد بذلك مدلولها العضوي أم الموضوعي، فيتناول مجموعة القواعد القانونية المتعلقة ببنيان هيكل الجهاز الإداري في الدولة سواء على المستوى المركزي أم اللامركزي، وكذلك مجموعة القواعد القانونية المتعلقة بالنشاط الإداري ذاته؛ هذا فضلاً عن مجموعة القواعد القانونية المتعلقة بالرقابة القضائية على نشاط الإدارة.</w:t>
      </w:r>
    </w:p>
    <w:p w:rsidR="003934FC" w:rsidRPr="008D375B" w:rsidRDefault="003934FC" w:rsidP="003934FC">
      <w:pPr>
        <w:shd w:val="clear" w:color="auto" w:fill="FFFFFF"/>
        <w:spacing w:after="368" w:line="368" w:lineRule="atLeast"/>
        <w:jc w:val="both"/>
        <w:rPr>
          <w:rFonts w:ascii="Traditional Arabic" w:hAnsi="Traditional Arabic" w:cs="Traditional Arabic"/>
          <w:color w:val="000000" w:themeColor="text1"/>
          <w:sz w:val="36"/>
          <w:szCs w:val="36"/>
          <w:rtl/>
        </w:rPr>
      </w:pPr>
      <w:r w:rsidRPr="008D375B">
        <w:rPr>
          <w:rFonts w:ascii="Traditional Arabic" w:hAnsi="Traditional Arabic" w:cs="Traditional Arabic"/>
          <w:color w:val="000000" w:themeColor="text1"/>
          <w:sz w:val="36"/>
          <w:szCs w:val="36"/>
          <w:rtl/>
        </w:rPr>
        <w:t>والحقيقة أن القانون الإداري يتناول الجانب القانوني للإدارة في حين يتناول علم الإدارة العامة جانبها الفني.</w:t>
      </w:r>
    </w:p>
    <w:p w:rsidR="003934FC" w:rsidRPr="008D375B" w:rsidRDefault="003934FC" w:rsidP="003934FC">
      <w:pPr>
        <w:shd w:val="clear" w:color="auto" w:fill="FFFFFF"/>
        <w:spacing w:after="368" w:line="368" w:lineRule="atLeast"/>
        <w:jc w:val="both"/>
        <w:rPr>
          <w:rFonts w:ascii="Traditional Arabic" w:hAnsi="Traditional Arabic" w:cs="Traditional Arabic"/>
          <w:color w:val="000000" w:themeColor="text1"/>
          <w:sz w:val="36"/>
          <w:szCs w:val="36"/>
          <w:rtl/>
        </w:rPr>
      </w:pPr>
      <w:r w:rsidRPr="008D375B">
        <w:rPr>
          <w:rFonts w:ascii="Traditional Arabic" w:hAnsi="Traditional Arabic" w:cs="Traditional Arabic"/>
          <w:color w:val="000000" w:themeColor="text1"/>
          <w:sz w:val="36"/>
          <w:szCs w:val="36"/>
          <w:rtl/>
        </w:rPr>
        <w:t>وتجدر الإشارة إلى أن توجيه القانون الإداري اهتمامه البالغ للمحافظة على مبدأ المشروعية ورغبته الملحة في تحقيق التوازن بين فعالية الإدارة وامتيازاتها من ناحية والحقوق والحريات العامة التي يتمتع بها الأفراد من ناحية أخرى قد أضعف من فاعلية هذا القانون فيما يتعلق بالمسائل الفنية.</w:t>
      </w:r>
    </w:p>
    <w:p w:rsidR="003934FC" w:rsidRPr="008D375B" w:rsidRDefault="003934FC" w:rsidP="003934FC">
      <w:pPr>
        <w:shd w:val="clear" w:color="auto" w:fill="FFFFFF"/>
        <w:spacing w:after="368" w:line="368" w:lineRule="atLeast"/>
        <w:jc w:val="both"/>
        <w:rPr>
          <w:rFonts w:ascii="Traditional Arabic" w:hAnsi="Traditional Arabic" w:cs="Traditional Arabic"/>
          <w:color w:val="000000" w:themeColor="text1"/>
          <w:sz w:val="36"/>
          <w:szCs w:val="36"/>
          <w:rtl/>
        </w:rPr>
      </w:pPr>
      <w:r w:rsidRPr="008D375B">
        <w:rPr>
          <w:rFonts w:ascii="Traditional Arabic" w:hAnsi="Traditional Arabic" w:cs="Traditional Arabic"/>
          <w:color w:val="000000" w:themeColor="text1"/>
          <w:sz w:val="36"/>
          <w:szCs w:val="36"/>
          <w:rtl/>
        </w:rPr>
        <w:t>وعلم الإدارة يبحث عن أفضل الطرق الفنية الواجب اتباعها في تنفيذ المهام الموكلة للإدارة العامة، فهو يدرس الإدارة كما هي موجودة بالفعل وإن خالفت نصوص القانون، وذلك بقصد زيادة إنتاجها ورفع مستوى أداء عمالها عن طريق إعدادهم علمياً ومعالجة أوضاعهم اقتصادياً واجتماعياً، وهو في ذلك لا يهمل القانون الإداري، وإنما يبحث في كيفية تطبيق قواعده عملياً؛ لكي يقوم بتقديرها وتقييمها من حيث آثارها في فعالية الإدارة وكفاءتها.</w:t>
      </w:r>
    </w:p>
    <w:p w:rsidR="003934FC" w:rsidRPr="008D375B" w:rsidRDefault="003934FC" w:rsidP="003934FC">
      <w:pPr>
        <w:shd w:val="clear" w:color="auto" w:fill="FFFFFF"/>
        <w:spacing w:after="368" w:line="368" w:lineRule="atLeast"/>
        <w:jc w:val="both"/>
        <w:rPr>
          <w:rFonts w:ascii="Traditional Arabic" w:hAnsi="Traditional Arabic" w:cs="Traditional Arabic"/>
          <w:color w:val="000000" w:themeColor="text1"/>
          <w:sz w:val="36"/>
          <w:szCs w:val="36"/>
          <w:rtl/>
        </w:rPr>
      </w:pPr>
      <w:r w:rsidRPr="008D375B">
        <w:rPr>
          <w:rFonts w:ascii="Traditional Arabic" w:hAnsi="Traditional Arabic" w:cs="Traditional Arabic"/>
          <w:color w:val="000000" w:themeColor="text1"/>
          <w:sz w:val="36"/>
          <w:szCs w:val="36"/>
          <w:rtl/>
        </w:rPr>
        <w:t>ينجم عما تقدم أن علم الإدارة العامة والقانون الإداري متكاملان يؤثر كل منهما في الآخر، ويتأثر به، وهما يبغيان وصول الإدارة العامة إلى تحقيق الأهداف المرسومة لها من قبل القيادة السياسية على أحسن وجه وتنفيذها.</w:t>
      </w:r>
    </w:p>
    <w:p w:rsidR="003934FC" w:rsidRPr="008D375B" w:rsidRDefault="003934FC" w:rsidP="003934FC">
      <w:pPr>
        <w:shd w:val="clear" w:color="auto" w:fill="FFFFFF"/>
        <w:spacing w:after="368" w:line="368" w:lineRule="atLeast"/>
        <w:jc w:val="both"/>
        <w:rPr>
          <w:rFonts w:ascii="Traditional Arabic" w:hAnsi="Traditional Arabic" w:cs="Traditional Arabic"/>
          <w:color w:val="000000" w:themeColor="text1"/>
          <w:sz w:val="36"/>
          <w:szCs w:val="36"/>
          <w:rtl/>
        </w:rPr>
      </w:pPr>
      <w:r w:rsidRPr="008D375B">
        <w:rPr>
          <w:rFonts w:ascii="Traditional Arabic" w:hAnsi="Traditional Arabic" w:cs="Traditional Arabic"/>
          <w:color w:val="000000" w:themeColor="text1"/>
          <w:sz w:val="36"/>
          <w:szCs w:val="36"/>
          <w:rtl/>
        </w:rPr>
        <w:t>ويمكن القول إن موقع علم الإدارة العامة بالنسبة إلى القانون الإداري يماثل موقع علم السياسة بالنسبة للقانون الدستوري.</w:t>
      </w:r>
    </w:p>
    <w:p w:rsidR="005613B2" w:rsidRDefault="005613B2" w:rsidP="005613B2">
      <w:pPr>
        <w:shd w:val="clear" w:color="auto" w:fill="FFFFFF"/>
        <w:spacing w:before="120" w:after="120"/>
        <w:jc w:val="both"/>
        <w:rPr>
          <w:rFonts w:ascii="Traditional Arabic" w:hAnsi="Traditional Arabic" w:cs="Traditional Arabic"/>
          <w:color w:val="222222"/>
          <w:sz w:val="32"/>
          <w:szCs w:val="32"/>
          <w:rtl/>
        </w:rPr>
      </w:pPr>
    </w:p>
    <w:sectPr w:rsidR="005613B2" w:rsidSect="0082486E">
      <w:pgSz w:w="11907" w:h="17634" w:code="9"/>
      <w:pgMar w:top="1134" w:right="1134" w:bottom="1134" w:left="1134" w:header="567" w:footer="1361"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984" w:rsidRDefault="00C95984" w:rsidP="00C2245B">
      <w:r>
        <w:separator/>
      </w:r>
    </w:p>
  </w:endnote>
  <w:endnote w:type="continuationSeparator" w:id="0">
    <w:p w:rsidR="00C95984" w:rsidRDefault="00C95984" w:rsidP="00C22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984" w:rsidRDefault="00C95984" w:rsidP="00C2245B">
      <w:r>
        <w:separator/>
      </w:r>
    </w:p>
  </w:footnote>
  <w:footnote w:type="continuationSeparator" w:id="0">
    <w:p w:rsidR="00C95984" w:rsidRDefault="00C95984" w:rsidP="00C22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9D7"/>
    <w:multiLevelType w:val="hybridMultilevel"/>
    <w:tmpl w:val="6BFE83B8"/>
    <w:lvl w:ilvl="0" w:tplc="E97A7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7FD5"/>
    <w:multiLevelType w:val="hybridMultilevel"/>
    <w:tmpl w:val="8CE6F0B0"/>
    <w:lvl w:ilvl="0" w:tplc="3A1E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03355"/>
    <w:multiLevelType w:val="multilevel"/>
    <w:tmpl w:val="1436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51FEE"/>
    <w:multiLevelType w:val="hybridMultilevel"/>
    <w:tmpl w:val="BA5C0764"/>
    <w:lvl w:ilvl="0" w:tplc="EB0E3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F3CA1"/>
    <w:multiLevelType w:val="hybridMultilevel"/>
    <w:tmpl w:val="97C4AF3C"/>
    <w:lvl w:ilvl="0" w:tplc="3F3067F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1873BE"/>
    <w:multiLevelType w:val="hybridMultilevel"/>
    <w:tmpl w:val="BD6C7E18"/>
    <w:lvl w:ilvl="0" w:tplc="2A44D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684F"/>
    <w:rsid w:val="000126EA"/>
    <w:rsid w:val="00061580"/>
    <w:rsid w:val="000F2AC7"/>
    <w:rsid w:val="001554B9"/>
    <w:rsid w:val="00164BAB"/>
    <w:rsid w:val="00167DF1"/>
    <w:rsid w:val="001A7EEC"/>
    <w:rsid w:val="001D68EB"/>
    <w:rsid w:val="00244FEA"/>
    <w:rsid w:val="002550CF"/>
    <w:rsid w:val="00263A93"/>
    <w:rsid w:val="002F2455"/>
    <w:rsid w:val="00332CB2"/>
    <w:rsid w:val="00357D09"/>
    <w:rsid w:val="003934FC"/>
    <w:rsid w:val="003A1DB5"/>
    <w:rsid w:val="004443CE"/>
    <w:rsid w:val="004D4D4A"/>
    <w:rsid w:val="004F7704"/>
    <w:rsid w:val="005613B2"/>
    <w:rsid w:val="005853C1"/>
    <w:rsid w:val="005B60C3"/>
    <w:rsid w:val="005C1473"/>
    <w:rsid w:val="006327A1"/>
    <w:rsid w:val="00632984"/>
    <w:rsid w:val="00635243"/>
    <w:rsid w:val="00637788"/>
    <w:rsid w:val="00727F23"/>
    <w:rsid w:val="00753124"/>
    <w:rsid w:val="007914B9"/>
    <w:rsid w:val="007E0550"/>
    <w:rsid w:val="007F43CD"/>
    <w:rsid w:val="008122B3"/>
    <w:rsid w:val="0082486E"/>
    <w:rsid w:val="00927872"/>
    <w:rsid w:val="00944BD0"/>
    <w:rsid w:val="0095380E"/>
    <w:rsid w:val="00A00B87"/>
    <w:rsid w:val="00A46CE4"/>
    <w:rsid w:val="00A61116"/>
    <w:rsid w:val="00A92BFC"/>
    <w:rsid w:val="00A9669E"/>
    <w:rsid w:val="00AA23F6"/>
    <w:rsid w:val="00AB6354"/>
    <w:rsid w:val="00AD5FB1"/>
    <w:rsid w:val="00AF23B0"/>
    <w:rsid w:val="00B35183"/>
    <w:rsid w:val="00B74E1F"/>
    <w:rsid w:val="00BB5A09"/>
    <w:rsid w:val="00BC7B1C"/>
    <w:rsid w:val="00BF5706"/>
    <w:rsid w:val="00C2245B"/>
    <w:rsid w:val="00C84816"/>
    <w:rsid w:val="00C95984"/>
    <w:rsid w:val="00CC033D"/>
    <w:rsid w:val="00D20485"/>
    <w:rsid w:val="00E67278"/>
    <w:rsid w:val="00F10223"/>
    <w:rsid w:val="00FC684F"/>
    <w:rsid w:val="00FE3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FC"/>
    <w:pPr>
      <w:bidi/>
      <w:spacing w:after="0" w:line="240" w:lineRule="auto"/>
    </w:pPr>
    <w:rPr>
      <w:rFonts w:ascii="Times New Roman" w:eastAsia="Times New Roman" w:hAnsi="Times New Roman" w:cs="Times New Roman"/>
      <w:sz w:val="24"/>
      <w:szCs w:val="24"/>
    </w:rPr>
  </w:style>
  <w:style w:type="paragraph" w:styleId="2">
    <w:name w:val="heading 2"/>
    <w:basedOn w:val="a"/>
    <w:link w:val="2Char"/>
    <w:uiPriority w:val="9"/>
    <w:qFormat/>
    <w:rsid w:val="00FE3BBA"/>
    <w:pPr>
      <w:bidi w:val="0"/>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C684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nhideWhenUsed/>
    <w:rsid w:val="00FC684F"/>
    <w:pPr>
      <w:bidi w:val="0"/>
      <w:spacing w:before="100" w:beforeAutospacing="1" w:after="100" w:afterAutospacing="1"/>
    </w:pPr>
  </w:style>
  <w:style w:type="character" w:customStyle="1" w:styleId="mw-headline">
    <w:name w:val="mw-headline"/>
    <w:basedOn w:val="a0"/>
    <w:rsid w:val="00FC684F"/>
  </w:style>
  <w:style w:type="paragraph" w:styleId="a4">
    <w:name w:val="List Paragraph"/>
    <w:basedOn w:val="a"/>
    <w:uiPriority w:val="34"/>
    <w:qFormat/>
    <w:rsid w:val="00944BD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a0"/>
    <w:rsid w:val="000F2AC7"/>
  </w:style>
  <w:style w:type="character" w:customStyle="1" w:styleId="2Char">
    <w:name w:val="عنوان 2 Char"/>
    <w:basedOn w:val="a0"/>
    <w:link w:val="2"/>
    <w:uiPriority w:val="9"/>
    <w:rsid w:val="00FE3BB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3BBA"/>
    <w:rPr>
      <w:color w:val="0000FF"/>
      <w:u w:val="single"/>
    </w:rPr>
  </w:style>
  <w:style w:type="paragraph" w:customStyle="1" w:styleId="noparagraphstyle">
    <w:name w:val="noparagraphstyle"/>
    <w:basedOn w:val="a"/>
    <w:rsid w:val="005C1473"/>
    <w:pPr>
      <w:bidi w:val="0"/>
      <w:spacing w:before="100" w:beforeAutospacing="1" w:after="100" w:afterAutospacing="1"/>
    </w:pPr>
  </w:style>
  <w:style w:type="paragraph" w:styleId="a5">
    <w:name w:val="footnote text"/>
    <w:basedOn w:val="a"/>
    <w:link w:val="Char"/>
    <w:uiPriority w:val="99"/>
    <w:unhideWhenUsed/>
    <w:rsid w:val="00C2245B"/>
    <w:rPr>
      <w:rFonts w:asciiTheme="minorHAnsi" w:eastAsiaTheme="minorHAnsi" w:hAnsiTheme="minorHAnsi" w:cstheme="minorBidi"/>
      <w:sz w:val="20"/>
      <w:szCs w:val="20"/>
    </w:rPr>
  </w:style>
  <w:style w:type="character" w:customStyle="1" w:styleId="Char">
    <w:name w:val="نص حاشية سفلية Char"/>
    <w:basedOn w:val="a0"/>
    <w:link w:val="a5"/>
    <w:uiPriority w:val="99"/>
    <w:rsid w:val="00C2245B"/>
    <w:rPr>
      <w:sz w:val="20"/>
      <w:szCs w:val="20"/>
    </w:rPr>
  </w:style>
  <w:style w:type="character" w:styleId="a6">
    <w:name w:val="footnote reference"/>
    <w:basedOn w:val="a0"/>
    <w:unhideWhenUsed/>
    <w:rsid w:val="00C2245B"/>
    <w:rPr>
      <w:vertAlign w:val="superscript"/>
    </w:rPr>
  </w:style>
  <w:style w:type="paragraph" w:customStyle="1" w:styleId="1-2">
    <w:name w:val="1-2"/>
    <w:basedOn w:val="a"/>
    <w:rsid w:val="003934FC"/>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273</Words>
  <Characters>1557</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27</cp:revision>
  <dcterms:created xsi:type="dcterms:W3CDTF">2017-04-20T15:38:00Z</dcterms:created>
  <dcterms:modified xsi:type="dcterms:W3CDTF">2017-04-26T15:47:00Z</dcterms:modified>
</cp:coreProperties>
</file>