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D9" w:rsidRPr="00483EAF" w:rsidRDefault="00034AD9" w:rsidP="00034AD9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483EAF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الدفاتر والأوراق الغير موقع </w:t>
      </w:r>
      <w:proofErr w:type="gramStart"/>
      <w:r w:rsidRPr="00483EAF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عليها :</w:t>
      </w:r>
      <w:proofErr w:type="gramEnd"/>
    </w:p>
    <w:p w:rsidR="00034AD9" w:rsidRPr="00F41520" w:rsidRDefault="00034AD9" w:rsidP="00034A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34AD9" w:rsidRDefault="00034AD9" w:rsidP="00034A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هي أوراق ودفاتر غير موقع </w:t>
      </w:r>
      <w:proofErr w:type="gramStart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عليها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ويكون إعدادها أما </w:t>
      </w:r>
      <w:proofErr w:type="spellStart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باإلزام</w:t>
      </w:r>
      <w:proofErr w:type="spellEnd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قانوني أو بدافع تنظيم الشخص لمعاملاته وشؤون حياته ، وهي عبارة عن سجلات يلزم القانون بعض الأشخاص بمسكها لبيان وضعهم القانوني كالدفاتر التجارية والأوراق والدفاتر الخاصة .</w:t>
      </w:r>
    </w:p>
    <w:p w:rsidR="00034AD9" w:rsidRPr="00F41520" w:rsidRDefault="00034AD9" w:rsidP="00034A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34AD9" w:rsidRPr="00F41520" w:rsidRDefault="00034AD9" w:rsidP="00034A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83EA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1- الدفاتر </w:t>
      </w:r>
      <w:proofErr w:type="gramStart"/>
      <w:r w:rsidRPr="00483EA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التجارية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:</w:t>
      </w:r>
      <w:proofErr w:type="gramEnd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تطبيقا لقانون التجارة رقم 30 لسنة 1984 ، فأن التاجر سواء كان شخصا طبيعيا أم معنويا أن يمسك نوعين من الدفاتر التجارية الإلزامية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((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3C0AC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دفتر اليومية </w:t>
      </w:r>
      <w:r w:rsidRPr="003C0AC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، </w:t>
      </w:r>
      <w:r w:rsidRPr="003C0AC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دفتر الأستاذ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))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ويدون بها مجمل نشاطاته التجارية ومعاملاته وعلاقاته التجا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رية وهناك جزاء يترتب على عدم مس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ك تلك الدفاتر .</w:t>
      </w:r>
    </w:p>
    <w:p w:rsidR="00034AD9" w:rsidRDefault="00034AD9" w:rsidP="00034A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34AD9" w:rsidRDefault="00034AD9" w:rsidP="00034AD9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3C0ACF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حجية الدفاتر </w:t>
      </w:r>
      <w:proofErr w:type="gramStart"/>
      <w:r w:rsidRPr="003C0ACF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التجارية :</w:t>
      </w:r>
      <w:proofErr w:type="gramEnd"/>
    </w:p>
    <w:p w:rsidR="00034AD9" w:rsidRPr="003C0ACF" w:rsidRDefault="00034AD9" w:rsidP="00034AD9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:rsidR="00034AD9" w:rsidRDefault="00034AD9" w:rsidP="00034A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آ- لا تعد هذهِ الطائفة من الدفاتر حجة </w:t>
      </w:r>
      <w:proofErr w:type="gramStart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لصاحبها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فلا يجوز لهُ أن يحتج بالقيود الواردة في دفاتره على الغير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، الا 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نه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يجوز للغير الاحتجاج بما ورد في هذهِ الدفاتر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بشرط عدم تجزئة الإقرار الوارد فيها .</w:t>
      </w:r>
    </w:p>
    <w:p w:rsidR="00034AD9" w:rsidRPr="00F41520" w:rsidRDefault="00034AD9" w:rsidP="00034A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34AD9" w:rsidRDefault="00034AD9" w:rsidP="00034A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ب- بالنسبة للدفاتر الاختيارية </w:t>
      </w:r>
      <w:proofErr w:type="gramStart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( </w:t>
      </w:r>
      <w:r w:rsidRPr="003C0AC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دفتر</w:t>
      </w:r>
      <w:proofErr w:type="gramEnd"/>
      <w:r w:rsidRPr="003C0AC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المسودة ، دفتر المخزن، دفتر الصندوق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) ، فهذهِ لا تعد أيضاً حجة لصاحبها لنفس السبب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كما لا تعد كقاعدة عامة حجة على صاحبها إلا في حالتين :</w:t>
      </w:r>
    </w:p>
    <w:p w:rsidR="00034AD9" w:rsidRDefault="00034AD9" w:rsidP="00034A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34AD9" w:rsidRPr="00F41520" w:rsidRDefault="00034AD9" w:rsidP="00034A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34AD9" w:rsidRPr="00F41520" w:rsidRDefault="00034AD9" w:rsidP="00034A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1- إذا ذكر صراحة أنهُ أستوفى </w:t>
      </w:r>
      <w:proofErr w:type="gramStart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ديناً .</w:t>
      </w:r>
      <w:proofErr w:type="gramEnd"/>
    </w:p>
    <w:p w:rsidR="00034AD9" w:rsidRDefault="00034AD9" w:rsidP="00034AD9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إذا ذكر صراحة أنه قصد بما دون فيها أن تقوم مقام السند الذي أثبت حقا لمصلحته في هاتين </w:t>
      </w:r>
      <w:proofErr w:type="gramStart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الحالتين ،</w:t>
      </w:r>
      <w:proofErr w:type="gramEnd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يجوز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هنا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للقاضي أن يستكمل قناعته من خلال اليمين </w:t>
      </w:r>
      <w:proofErr w:type="spellStart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المتممه</w:t>
      </w:r>
      <w:proofErr w:type="spellEnd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</w:t>
      </w:r>
    </w:p>
    <w:p w:rsidR="00034AD9" w:rsidRPr="003C0ACF" w:rsidRDefault="00034AD9" w:rsidP="00034AD9">
      <w:pPr>
        <w:pStyle w:val="a3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34AD9" w:rsidRDefault="00034AD9" w:rsidP="00034A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2</w:t>
      </w:r>
      <w:r w:rsidRPr="003C0ACF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- الدفاتر والأوراق </w:t>
      </w:r>
      <w:proofErr w:type="gramStart"/>
      <w:r w:rsidRPr="003C0ACF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المنزلية :</w:t>
      </w:r>
      <w:proofErr w:type="gramEnd"/>
      <w:r w:rsidRPr="003C0AC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034AD9" w:rsidRDefault="00034AD9" w:rsidP="00034A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34AD9" w:rsidRPr="00F41520" w:rsidRDefault="00034AD9" w:rsidP="00034A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وهي الدفاتر التي يدون فيها المرء أمور شخصية تتعلق بأموره المالية </w:t>
      </w:r>
      <w:proofErr w:type="gramStart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ومعاملاته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ويدون هذهِ المعلومات بدافع شخصي وليس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إلزام قانوني ودون أن يوقعها ولو وقعت لأصبحت سندا عاديا بما تحويه .وهي لا تمثل حجة لصاحبها بل حجة للغير .</w:t>
      </w:r>
    </w:p>
    <w:p w:rsidR="00034AD9" w:rsidRPr="00F41520" w:rsidRDefault="00034AD9" w:rsidP="00034A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34AD9" w:rsidRDefault="00034AD9" w:rsidP="00034AD9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3C0ACF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التأشير على السندات المثبتة </w:t>
      </w:r>
      <w:proofErr w:type="gramStart"/>
      <w:r w:rsidRPr="003C0ACF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للدّين :</w:t>
      </w:r>
      <w:proofErr w:type="gramEnd"/>
    </w:p>
    <w:p w:rsidR="00034AD9" w:rsidRPr="003C0ACF" w:rsidRDefault="00034AD9" w:rsidP="00034AD9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:rsidR="00034AD9" w:rsidRPr="00F41520" w:rsidRDefault="00034AD9" w:rsidP="00034A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جرت العادة أن يؤشر الدائن وفاء المدّين لدينة على سند الدّين الذي في حيازته وقد يكون التأشير على نسخة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سند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الدّين الذي في يد </w:t>
      </w:r>
      <w:proofErr w:type="gramStart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المدّين ،</w:t>
      </w:r>
      <w:proofErr w:type="gramEnd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ويفيد هذا التأشير قبض جزء أو قسط من الدّين انتظارا لحين وفاء باقي الدّين ، ويفهم من نص المادة / 33 من القانون ، أنها تميز بين حالتين للتأشير على سند في يد الدائن والتأشير على سند في يد المدّين :</w:t>
      </w:r>
    </w:p>
    <w:p w:rsidR="00034AD9" w:rsidRDefault="00034AD9" w:rsidP="00034AD9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C0AC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التأشير على سند لدى </w:t>
      </w:r>
      <w:proofErr w:type="gramStart"/>
      <w:r w:rsidRPr="003C0AC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الدائن :</w:t>
      </w:r>
      <w:proofErr w:type="gramEnd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أن التأشير على سند يستفاد منهُ براءة الذمة لل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دّين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، و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يعتبر حجة على الدائن إلى أن يثبت العكس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ولو لم يكن التأشير موقعا منهُ ما دام السند لم يخرج قط من </w:t>
      </w:r>
      <w:proofErr w:type="spellStart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حيازتة</w:t>
      </w:r>
      <w:proofErr w:type="spellEnd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، وذلك يشترط ما نصت المادة / 33/ أولا (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( </w:t>
      </w:r>
      <w:proofErr w:type="spellStart"/>
      <w:r w:rsidRPr="003C0AC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التاشير</w:t>
      </w:r>
      <w:proofErr w:type="spellEnd"/>
      <w:r w:rsidRPr="003C0AC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على سند بما يستفاد منه براءة ذمة المدين حجة على </w:t>
      </w:r>
      <w:r w:rsidRPr="003C0AC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lastRenderedPageBreak/>
        <w:t xml:space="preserve">الدائن الى ان يثبت العكس ولو لم يكن </w:t>
      </w:r>
      <w:proofErr w:type="spellStart"/>
      <w:r w:rsidRPr="003C0AC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التاشير</w:t>
      </w:r>
      <w:proofErr w:type="spellEnd"/>
      <w:r w:rsidRPr="003C0AC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موقعا منه ما دام السند لم يخرج قط من حيازته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))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وهو ما </w:t>
      </w:r>
      <w:proofErr w:type="gramStart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يعني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- </w:t>
      </w:r>
    </w:p>
    <w:p w:rsidR="00034AD9" w:rsidRPr="003C0ACF" w:rsidRDefault="00034AD9" w:rsidP="00034AD9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C0AC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034AD9" w:rsidRPr="00F41520" w:rsidRDefault="00034AD9" w:rsidP="00034A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آ- أن يتم التأشير على السند ببراءة ذمة المدّين مكتوبا على سند الدّين ذاته ولا يعتد بالتأشير الذي يرد على صورة السند أو ورقة </w:t>
      </w:r>
      <w:proofErr w:type="gramStart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مستقلة .</w:t>
      </w:r>
      <w:proofErr w:type="gramEnd"/>
    </w:p>
    <w:p w:rsidR="00034AD9" w:rsidRPr="003C0ACF" w:rsidRDefault="00034AD9" w:rsidP="00034AD9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أن يبقى السند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في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حيازة </w:t>
      </w:r>
      <w:proofErr w:type="gramStart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الدائن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حيث إذا خرج السند من حيازة الدائن ، فأن ذلك يعد مانعا من قيام قرينة الوفاء ولا يعد السند خرج من حيازته إذا أنتقل إلى وكيل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ه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أو مدير أعمال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ه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، لذلك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ف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أن بقاء السند شرط أساسي لجعل التأشير حجة على الدائن ، أما إذا أدعى الدائن أنهُ قد سرق أو فقد منهُ أو أن التأشير المكتوب على السند قد كتب دون علمه أو رضاه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، فعلية عبء الإثبات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034AD9" w:rsidRPr="00F41520" w:rsidRDefault="00034AD9" w:rsidP="00034A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ث-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أما في حالة الحك </w:t>
      </w:r>
      <w:proofErr w:type="gramStart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والشطب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فأن الشطب لا يزيل قوة التأشير في الإثبات وتظل قرينة الوفاء قائمة إلى أن يثبت الدائن أن الشطب لهُ ما يبرره ، وعليه إثبات شطب التأشير بكافة طرق الإثبات .</w:t>
      </w:r>
    </w:p>
    <w:p w:rsidR="00034AD9" w:rsidRPr="00BE500B" w:rsidRDefault="00034AD9" w:rsidP="00034AD9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BE500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2- التأشير على سند لدى </w:t>
      </w:r>
      <w:proofErr w:type="gramStart"/>
      <w:r w:rsidRPr="00BE500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المدّين :</w:t>
      </w:r>
      <w:proofErr w:type="gramEnd"/>
    </w:p>
    <w:p w:rsidR="00034AD9" w:rsidRDefault="00034AD9" w:rsidP="00034A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أن المادة / 33 / ثانيا من </w:t>
      </w:r>
      <w:proofErr w:type="gramStart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القانون ،</w:t>
      </w:r>
      <w:proofErr w:type="gramEnd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تقول : (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( </w:t>
      </w:r>
      <w:r w:rsidRPr="00BE500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وكذلك يكون الحكم اذا اشر الدائن بخطه دون توقيع ما يستفاد منه براءة ذمة المدين في نسخة اصلية اخرى للسند في يد المدين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) وبذلك يشترط لقيام قرينة الوفاء ، هي :</w:t>
      </w:r>
    </w:p>
    <w:p w:rsidR="00034AD9" w:rsidRPr="00F41520" w:rsidRDefault="00034AD9" w:rsidP="00034A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34AD9" w:rsidRPr="00F41520" w:rsidRDefault="00034AD9" w:rsidP="00034A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آ- أن يكون التأشير مكتوبا بخط الدائن بما يفيد براءة </w:t>
      </w:r>
      <w:proofErr w:type="gramStart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المدّين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وعند الإنكار يكون عبء الإثبات على المدّين .</w:t>
      </w:r>
    </w:p>
    <w:p w:rsidR="00034AD9" w:rsidRPr="00F41520" w:rsidRDefault="00034AD9" w:rsidP="00034A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ب- أن يكون التأشير على النسخة الأصلية </w:t>
      </w:r>
      <w:proofErr w:type="gramStart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للسند .</w:t>
      </w:r>
      <w:proofErr w:type="gramEnd"/>
    </w:p>
    <w:p w:rsidR="00034AD9" w:rsidRPr="00F41520" w:rsidRDefault="00034AD9" w:rsidP="00034AD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ج – أن توجد النسخة الأصلية للسند المؤشرة في حيازة المدّين أو من يحتفظ بها </w:t>
      </w:r>
      <w:proofErr w:type="gramStart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>لحسابه ،</w:t>
      </w:r>
      <w:proofErr w:type="gramEnd"/>
      <w:r w:rsidRPr="00F4152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أن السند الأصلي الذي أشر عليه الدائن بخطه لا تكون حجة عليه إلا إذا كانت بحيازة المدّين .</w:t>
      </w:r>
    </w:p>
    <w:p w:rsidR="00DF3BE1" w:rsidRDefault="00034AD9">
      <w:bookmarkStart w:id="0" w:name="_GoBack"/>
      <w:bookmarkEnd w:id="0"/>
    </w:p>
    <w:sectPr w:rsidR="00DF3BE1" w:rsidSect="00FF314B">
      <w:pgSz w:w="12240" w:h="15840"/>
      <w:pgMar w:top="1872" w:right="1440" w:bottom="1584" w:left="1584" w:header="0" w:footer="576" w:gutter="0"/>
      <w:cols w:space="720"/>
      <w:rtlGutter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38EE"/>
    <w:multiLevelType w:val="hybridMultilevel"/>
    <w:tmpl w:val="7902A594"/>
    <w:lvl w:ilvl="0" w:tplc="04090013">
      <w:start w:val="1"/>
      <w:numFmt w:val="arabicAlpha"/>
      <w:lvlText w:val="%1-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13F8E"/>
    <w:multiLevelType w:val="hybridMultilevel"/>
    <w:tmpl w:val="E2300EC0"/>
    <w:lvl w:ilvl="0" w:tplc="9844E5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391C17"/>
    <w:multiLevelType w:val="hybridMultilevel"/>
    <w:tmpl w:val="0EE23940"/>
    <w:lvl w:ilvl="0" w:tplc="01DEE140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D9"/>
    <w:rsid w:val="00034AD9"/>
    <w:rsid w:val="000442C4"/>
    <w:rsid w:val="0018171F"/>
    <w:rsid w:val="001F38B8"/>
    <w:rsid w:val="00411A28"/>
    <w:rsid w:val="005C1812"/>
    <w:rsid w:val="005D45E9"/>
    <w:rsid w:val="00653EF8"/>
    <w:rsid w:val="00776BDA"/>
    <w:rsid w:val="00A2155B"/>
    <w:rsid w:val="00B86CFC"/>
    <w:rsid w:val="00C64B18"/>
    <w:rsid w:val="00CB3987"/>
    <w:rsid w:val="00DE74C5"/>
    <w:rsid w:val="00DF5DFC"/>
    <w:rsid w:val="00E33F62"/>
    <w:rsid w:val="00F05486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5D20D-38A4-4EE9-84A2-53ADC242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8"/>
        <w:szCs w:val="28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F8"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AD9"/>
    <w:pPr>
      <w:jc w:val="left"/>
    </w:pPr>
    <w:rPr>
      <w:rFonts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Company>Microsoft (C)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عمار المحامي</dc:creator>
  <cp:keywords/>
  <dc:description/>
  <cp:lastModifiedBy>عمار المحامي </cp:lastModifiedBy>
  <cp:revision>1</cp:revision>
  <dcterms:created xsi:type="dcterms:W3CDTF">2017-04-26T20:17:00Z</dcterms:created>
  <dcterms:modified xsi:type="dcterms:W3CDTF">2017-04-26T20:18:00Z</dcterms:modified>
</cp:coreProperties>
</file>