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626727" w:rsidRDefault="006267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تعريف عقد الإيجار و بيان خصائصه وتمييزه عن غيره</w:t>
      </w:r>
    </w:p>
    <w:p w:rsidR="00626727" w:rsidRPr="00626727" w:rsidRDefault="00626727" w:rsidP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26727" w:rsidRPr="00626727" w:rsidRDefault="00626727" w:rsidP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عرفت ال</w:t>
      </w: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722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القانون المدني 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بانه</w:t>
      </w:r>
      <w:proofErr w:type="spellEnd"/>
    </w:p>
    <w:p w:rsidR="00626727" w:rsidRDefault="00626727" w:rsidP="0062672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تمليك منفعة معلومة بعوض معلوم لمدة معلومة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وبه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يلتزم المؤجر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يمكن المستأجر من الانتفاع بالمأجور.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 التعريف منتقد</w:t>
      </w:r>
    </w:p>
    <w:p w:rsidR="00626727" w:rsidRDefault="00626727" w:rsidP="0062672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الناحية الاجتماعية والاقتصادية والقانونية</w:t>
      </w:r>
    </w:p>
    <w:p w:rsidR="00DC47F5" w:rsidRDefault="00DC47F5" w:rsidP="0062672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قواعد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واحكام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تتوزع بين القانون المدني وقانون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العقارات رقم 78 لسنة 1989 والذي تم تعديله بالقانون رقم 56 لسنة 2000 </w:t>
      </w:r>
    </w:p>
    <w:p w:rsidR="00DC47F5" w:rsidRPr="006F5D17" w:rsidRDefault="00DC47F5" w:rsidP="00DC47F5">
      <w:pPr>
        <w:shd w:val="clear" w:color="auto" w:fill="F7E7DE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يلغى نص المادة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الاولى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من</w:t>
      </w:r>
      <w:hyperlink r:id="rId4" w:history="1">
        <w:r w:rsidRPr="006F5D17">
          <w:rPr>
            <w:rFonts w:ascii="Arabic" w:eastAsia="Times New Roman" w:hAnsi="Arabic" w:cs="Arial"/>
            <w:color w:val="0000FF"/>
            <w:szCs w:val="27"/>
            <w:u w:val="single"/>
            <w:rtl/>
          </w:rPr>
          <w:t xml:space="preserve"> قانون </w:t>
        </w:r>
        <w:proofErr w:type="spellStart"/>
        <w:r w:rsidRPr="006F5D17">
          <w:rPr>
            <w:rFonts w:ascii="Arabic" w:eastAsia="Times New Roman" w:hAnsi="Arabic" w:cs="Arial"/>
            <w:color w:val="0000FF"/>
            <w:szCs w:val="27"/>
            <w:u w:val="single"/>
            <w:rtl/>
          </w:rPr>
          <w:t>ايجار</w:t>
        </w:r>
        <w:proofErr w:type="spellEnd"/>
        <w:r w:rsidRPr="006F5D17">
          <w:rPr>
            <w:rFonts w:ascii="Arabic" w:eastAsia="Times New Roman" w:hAnsi="Arabic" w:cs="Arial"/>
            <w:color w:val="0000FF"/>
            <w:szCs w:val="27"/>
            <w:u w:val="single"/>
            <w:rtl/>
          </w:rPr>
          <w:t xml:space="preserve"> العقار المرقم </w:t>
        </w:r>
        <w:proofErr w:type="spellStart"/>
        <w:r w:rsidRPr="006F5D17">
          <w:rPr>
            <w:rFonts w:ascii="Arabic" w:eastAsia="Times New Roman" w:hAnsi="Arabic" w:cs="Arial"/>
            <w:color w:val="0000FF"/>
            <w:szCs w:val="27"/>
            <w:u w:val="single"/>
            <w:rtl/>
          </w:rPr>
          <w:t>بـ</w:t>
        </w:r>
        <w:proofErr w:type="spellEnd"/>
        <w:r w:rsidRPr="006F5D17">
          <w:rPr>
            <w:rFonts w:ascii="Arabic" w:eastAsia="Times New Roman" w:hAnsi="Arabic" w:cs="Arial"/>
            <w:color w:val="0000FF"/>
            <w:szCs w:val="27"/>
            <w:u w:val="single"/>
            <w:rtl/>
          </w:rPr>
          <w:t xml:space="preserve"> (87) لسنة 1979</w:t>
        </w:r>
      </w:hyperlink>
      <w:r w:rsidRPr="006F5D17">
        <w:rPr>
          <w:rFonts w:ascii="Arabic" w:eastAsia="Times New Roman" w:hAnsi="Arabic" w:cs="Arial"/>
          <w:color w:val="000000"/>
          <w:szCs w:val="27"/>
          <w:rtl/>
        </w:rPr>
        <w:t> 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ويحل محله ما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ياتي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: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المادة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الاولى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: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1 - ا - تسري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القانون على العقارات المبنية المؤجرة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لاغراض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السكنى للعراقيين الواقعة ضمن حدود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امانة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بغداد والبلديات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ب - يعامل معاملة العراقي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لاغراض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القانون الفلسطيني المقيم في العراق منذ عام 1948 وذريته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2 - تستثنى العقارات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الاتية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من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الفقرة (1) من هذه المادة وتخضع في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ايجارها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الى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 </w:t>
      </w:r>
      <w:hyperlink r:id="rId5" w:history="1">
        <w:r w:rsidRPr="006F5D17">
          <w:rPr>
            <w:rFonts w:ascii="Arabic" w:eastAsia="Times New Roman" w:hAnsi="Arabic" w:cs="Arial"/>
            <w:color w:val="0000FF"/>
            <w:szCs w:val="27"/>
            <w:u w:val="single"/>
            <w:rtl/>
          </w:rPr>
          <w:t>القانون المدني</w:t>
        </w:r>
      </w:hyperlink>
      <w:r w:rsidRPr="006F5D17">
        <w:rPr>
          <w:rFonts w:ascii="Arabic" w:eastAsia="Times New Roman" w:hAnsi="Arabic" w:cs="Arial"/>
          <w:color w:val="000000"/>
          <w:szCs w:val="27"/>
          <w:rtl/>
        </w:rPr>
        <w:t> 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القوانين الخاصة بها: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ا - العقارات المعدة للسكنى التي تؤجرها الدولة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الاشخاص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المعنوية العامة للعاملين فيها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ب - العقارات المعدة للسكنى التي تؤجرها الدولة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الاشخاص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المعنوية العامة التي يصدر وزير المالية بيانا باستثنائها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ج - العقارات المؤجرة لغير العراقيين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اشخاصا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هيئات .</w:t>
      </w:r>
    </w:p>
    <w:p w:rsidR="00DC47F5" w:rsidRPr="006F5D17" w:rsidRDefault="00DC47F5" w:rsidP="00DC47F5">
      <w:pPr>
        <w:shd w:val="clear" w:color="auto" w:fill="F7E7DE"/>
        <w:spacing w:after="0" w:line="336" w:lineRule="atLeast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DC47F5" w:rsidRPr="00626727" w:rsidRDefault="00DC47F5" w:rsidP="00DC47F5">
      <w:pPr>
        <w:rPr>
          <w:rFonts w:ascii="Simplified Arabic" w:hAnsi="Simplified Arabic" w:cs="Simplified Arabic"/>
          <w:sz w:val="28"/>
          <w:szCs w:val="28"/>
          <w:rtl/>
        </w:rPr>
      </w:pPr>
      <w:r w:rsidRPr="006F5D17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</w:p>
    <w:p w:rsidR="00626727" w:rsidRPr="00626727" w:rsidRDefault="006267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خصائص عقد </w:t>
      </w:r>
      <w:proofErr w:type="spellStart"/>
      <w:r w:rsidRPr="006267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الايجار</w:t>
      </w:r>
      <w:proofErr w:type="spellEnd"/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رضائي 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عقد ملزم للجانبين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معاوضة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عقد من العقود المستمرة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عقد يرد على المنفعة</w:t>
      </w:r>
    </w:p>
    <w:p w:rsidR="00626727" w:rsidRPr="00626727" w:rsidRDefault="006267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تمييز عقد </w:t>
      </w:r>
      <w:proofErr w:type="spellStart"/>
      <w:r w:rsidRPr="006267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الايجار</w:t>
      </w:r>
      <w:proofErr w:type="spellEnd"/>
      <w:r w:rsidRPr="006267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عن غيره من العقود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تمييز عقد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الاعارة</w:t>
      </w:r>
      <w:proofErr w:type="spellEnd"/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تمييز عقد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الوديعة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تمييز عقد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عقد العمل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تمييز عقد </w:t>
      </w:r>
      <w:proofErr w:type="spellStart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6267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حق المنفعة</w:t>
      </w:r>
    </w:p>
    <w:p w:rsidR="00626727" w:rsidRPr="00626727" w:rsidRDefault="00626727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626727" w:rsidRPr="00626727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727"/>
    <w:rsid w:val="0002013A"/>
    <w:rsid w:val="000B0F0C"/>
    <w:rsid w:val="00626727"/>
    <w:rsid w:val="00971C0F"/>
    <w:rsid w:val="00DC47F5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aqld.iq/LoadLawBook.aspx?SC=120120013721926" TargetMode="External"/><Relationship Id="rId4" Type="http://schemas.openxmlformats.org/officeDocument/2006/relationships/hyperlink" Target="http://www.iraqld.iq/LoadArticle.aspx?SC=231020075751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1300</Characters>
  <Application>Microsoft Office Word</Application>
  <DocSecurity>0</DocSecurity>
  <Lines>10</Lines>
  <Paragraphs>3</Paragraphs>
  <ScaleCrop>false</ScaleCrop>
  <Company>DamasGate.com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2017-04-29T05:54:00Z</dcterms:created>
  <dcterms:modified xsi:type="dcterms:W3CDTF">2017-04-29T06:20:00Z</dcterms:modified>
</cp:coreProperties>
</file>