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AF" w:rsidRPr="00C317AF" w:rsidRDefault="00C317AF" w:rsidP="00C317AF">
      <w:pPr>
        <w:pStyle w:val="NoSpacing"/>
        <w:bidi w:val="0"/>
        <w:ind w:left="-180" w:firstLine="180"/>
        <w:jc w:val="right"/>
        <w:rPr>
          <w:rFonts w:eastAsia="Times New Roman"/>
          <w:sz w:val="32"/>
          <w:szCs w:val="32"/>
          <w:lang w:bidi="ar-IQ"/>
        </w:rPr>
      </w:pPr>
      <w:r w:rsidRPr="00C317AF">
        <w:rPr>
          <w:rFonts w:eastAsia="Times New Roman"/>
          <w:sz w:val="32"/>
          <w:szCs w:val="32"/>
          <w:rtl/>
        </w:rPr>
        <w:t>المالية العامة</w:t>
      </w:r>
      <w:r w:rsidRPr="00C317AF">
        <w:rPr>
          <w:rFonts w:eastAsia="Times New Roman"/>
          <w:sz w:val="32"/>
          <w:szCs w:val="32"/>
        </w:rPr>
        <w:br/>
      </w:r>
      <w:r w:rsidRPr="00C317AF">
        <w:rPr>
          <w:rFonts w:eastAsia="Times New Roman"/>
          <w:sz w:val="32"/>
          <w:szCs w:val="32"/>
          <w:rtl/>
        </w:rPr>
        <w:t>المرحلة الثانية / قانون</w:t>
      </w:r>
      <w:r w:rsidRPr="00C317AF">
        <w:rPr>
          <w:rFonts w:eastAsia="Times New Roman"/>
          <w:sz w:val="32"/>
          <w:szCs w:val="32"/>
        </w:rPr>
        <w:br/>
      </w:r>
      <w:r w:rsidRPr="00C317AF">
        <w:rPr>
          <w:rFonts w:eastAsia="Times New Roman"/>
          <w:sz w:val="32"/>
          <w:szCs w:val="32"/>
          <w:rtl/>
        </w:rPr>
        <w:t>المحاضرة ال</w:t>
      </w:r>
      <w:r w:rsidRPr="00C317AF">
        <w:rPr>
          <w:rFonts w:eastAsia="Times New Roman" w:hint="cs"/>
          <w:sz w:val="32"/>
          <w:szCs w:val="32"/>
          <w:rtl/>
        </w:rPr>
        <w:t>ثالثة</w:t>
      </w:r>
    </w:p>
    <w:p w:rsidR="00C317AF" w:rsidRDefault="00C317AF" w:rsidP="00C317AF">
      <w:pPr>
        <w:pStyle w:val="NoSpacing"/>
        <w:bidi w:val="0"/>
        <w:ind w:left="-180" w:firstLine="180"/>
        <w:jc w:val="right"/>
        <w:rPr>
          <w:rFonts w:eastAsia="Times New Roman"/>
          <w:sz w:val="28"/>
          <w:szCs w:val="28"/>
        </w:rPr>
      </w:pPr>
      <w:r w:rsidRPr="006A0904">
        <w:rPr>
          <w:rFonts w:eastAsia="Times New Roman"/>
          <w:sz w:val="28"/>
          <w:szCs w:val="28"/>
        </w:rPr>
        <w:br/>
      </w:r>
      <w:r w:rsidRPr="006A0904">
        <w:rPr>
          <w:rFonts w:eastAsia="Times New Roman"/>
          <w:sz w:val="28"/>
          <w:szCs w:val="28"/>
          <w:rtl/>
        </w:rPr>
        <w:t>النفقات العامة</w:t>
      </w:r>
      <w:r w:rsidRPr="006A0904">
        <w:rPr>
          <w:rFonts w:eastAsia="Times New Roman"/>
          <w:sz w:val="28"/>
          <w:szCs w:val="28"/>
        </w:rPr>
        <w:br/>
      </w:r>
      <w:r w:rsidRPr="006A0904">
        <w:rPr>
          <w:rFonts w:eastAsia="Times New Roman"/>
          <w:sz w:val="28"/>
          <w:szCs w:val="28"/>
          <w:rtl/>
        </w:rPr>
        <w:t>معنى النفقة العامة: وهي تدفق نقدي يصدر من الدولة يقوم به شخص عام أو معنوي لإشباع حاجات عامة</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صور النفقات العامة</w:t>
      </w:r>
      <w:r>
        <w:rPr>
          <w:rFonts w:eastAsia="Times New Roman"/>
          <w:sz w:val="28"/>
          <w:szCs w:val="28"/>
        </w:rPr>
        <w:t xml:space="preserve"> </w:t>
      </w:r>
    </w:p>
    <w:p w:rsidR="00C317AF" w:rsidRDefault="00C317AF" w:rsidP="00C317AF">
      <w:pPr>
        <w:pStyle w:val="NoSpacing"/>
        <w:bidi w:val="0"/>
        <w:ind w:left="-180" w:firstLine="180"/>
        <w:jc w:val="right"/>
        <w:rPr>
          <w:lang w:bidi="ar-IQ"/>
        </w:rPr>
      </w:pPr>
      <w:r w:rsidRPr="006A0904">
        <w:rPr>
          <w:rFonts w:eastAsia="Times New Roman"/>
          <w:sz w:val="28"/>
          <w:szCs w:val="28"/>
        </w:rPr>
        <w:t xml:space="preserve"> </w:t>
      </w:r>
      <w:r w:rsidRPr="006A0904">
        <w:rPr>
          <w:rFonts w:eastAsia="Times New Roman"/>
          <w:sz w:val="28"/>
          <w:szCs w:val="28"/>
          <w:rtl/>
        </w:rPr>
        <w:t>الرواتب ولأجور</w:t>
      </w:r>
      <w:r w:rsidRPr="006A0904">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شراء بعض السلع والخدمات والمباني</w:t>
      </w:r>
      <w:r w:rsidRPr="006A0904">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الإعانات التي تقوم الدولة بإعطائها للمواطنين</w:t>
      </w:r>
      <w:r w:rsidRPr="006A0904">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تسديد دين الدولة الخارجي</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طبيعة النفقة العامة : يتوضح نشاط الدولة في الحياة الاجتماعية من خلال ما تنفذهُ من أنفاق عام حيث ومن خلال دراسة الأنفاق العام يمكن التعرف على طبيعة النشاط المالي وأهميته ويكون تقسيم النفقات العامة على عدة معايير قد تكون المعايير أقتصاية أو غير اقتصادية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للنفقات العامة ثلاثة عناصر رئيسية</w:t>
      </w:r>
      <w:r w:rsidRPr="006A0904">
        <w:rPr>
          <w:rFonts w:eastAsia="Times New Roman"/>
          <w:sz w:val="28"/>
          <w:szCs w:val="28"/>
        </w:rPr>
        <w:t xml:space="preserve"> :</w:t>
      </w:r>
      <w:r w:rsidRPr="006A0904">
        <w:rPr>
          <w:rFonts w:eastAsia="Times New Roman"/>
          <w:sz w:val="28"/>
          <w:szCs w:val="28"/>
        </w:rPr>
        <w:br/>
        <w:t xml:space="preserve">1- </w:t>
      </w:r>
      <w:r w:rsidRPr="006A0904">
        <w:rPr>
          <w:rFonts w:eastAsia="Times New Roman"/>
          <w:sz w:val="28"/>
          <w:szCs w:val="28"/>
          <w:rtl/>
        </w:rPr>
        <w:t>النفقة العامة مبلغ من النقود ؛ أن العنصر الأساس للنفقة العامة هو استخدام مبلغ من النقود الذي يمثل الثمن باحتياجات الدولة من سلع وخدمات أساسية لتسيير المرافق العامة وثمنا لرؤوس الأموال الأنتاجيه التي هي بحاجة إليها لتنفيذ المشروعات الاستثمارية التي تتولى أمر تنفيذها وضخ الإعانات على اختلاف أنواعها وطالما أن المعاملات والمبادلات الاقتصادية تتم عن طريق النقود في ظل نظام اقتصادي نقدي ، والنقود هي وسيلة الدولة في الأنفاق وبالتالي فأن النفقة العامة أخذت شكل النقود كما أن الأساليب غير النقدية التي تسلكها الدولة من أجل أن تحصل على ماتحتاج إليه من منتجات وغيرها لاتعتبر نفقات عامة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صدور النفقة العامة من الدولة أو أحد هيئاتها ؛ تصدر النفقة العامة عن الدولة أو أي هيئة من هيئاتها بما في ذلك هيئات للاقتصاد العام ومؤسساته التي تتمتع بشخصية معنوية وقد تكون هذهِ الهيئة الشخص العام سواءا كانت مجالس محلية أو مجالس محافظات</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أ</w:t>
      </w:r>
      <w:r>
        <w:rPr>
          <w:rFonts w:eastAsia="Times New Roman" w:hint="cs"/>
          <w:sz w:val="28"/>
          <w:szCs w:val="28"/>
          <w:rtl/>
        </w:rPr>
        <w:t xml:space="preserve">ن </w:t>
      </w:r>
      <w:r w:rsidRPr="006A0904">
        <w:rPr>
          <w:rFonts w:eastAsia="Times New Roman"/>
          <w:sz w:val="28"/>
          <w:szCs w:val="28"/>
          <w:rtl/>
        </w:rPr>
        <w:t xml:space="preserve">النفقة العامة تحقيق نفع عام ؛من المعروف أن النفقات العامة تهدف إلى إشباع حاجات عامة وتحقيق نفع عام وبهذا المعنى لا تعد نفقات عامة تلك التي لا تشبع حاجات عامة ولا تحقق نفعا عاما للأفراد ويمكن تبرير ذلك في أنهُ لما كان الأفراد متساويين في تحمل الأعباء العامة ( الضرائب) فأنهم يتساوون بالانتفاع بالنفقات العامة للدول في جميع الوجوه أي أن النفقة العامة سداد الحاجة العامة وليس لمصلحة خاصة علما بأنه يصعب وبسبب هذهِ القاعدة في كثير من الأحيان مراعاة الكفاءة الاقتصادية المثلى ، أذن تقرر النفقة العامة لتحقيق المنفعة العامة طبقا للقواعد والقوانيين التي تحكم الأنفاق العام وذلك لتحقيق أقصى قدر ممكن من المنفعة العامة باستخدام أقل قدر ممكن من النفقات العامة </w:t>
      </w:r>
      <w:r w:rsidRPr="006A0904">
        <w:rPr>
          <w:rFonts w:eastAsia="Times New Roman"/>
          <w:sz w:val="28"/>
          <w:szCs w:val="28"/>
        </w:rPr>
        <w:t>.</w:t>
      </w:r>
      <w:r w:rsidRPr="006A0904">
        <w:rPr>
          <w:rFonts w:eastAsia="Times New Roman"/>
          <w:sz w:val="28"/>
          <w:szCs w:val="28"/>
        </w:rPr>
        <w:br/>
      </w:r>
    </w:p>
    <w:p w:rsidR="00080C23" w:rsidRDefault="00080C23" w:rsidP="00C317AF">
      <w:pPr>
        <w:rPr>
          <w:rFonts w:hint="cs"/>
          <w:lang w:bidi="ar-IQ"/>
        </w:rPr>
      </w:pPr>
    </w:p>
    <w:sectPr w:rsidR="00080C2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17AF"/>
    <w:rsid w:val="00080C23"/>
    <w:rsid w:val="00C317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7A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2017-05-01T15:53:00Z</dcterms:created>
  <dcterms:modified xsi:type="dcterms:W3CDTF">2017-05-01T15:55:00Z</dcterms:modified>
</cp:coreProperties>
</file>