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90" w:rsidRDefault="00157890" w:rsidP="00157890">
      <w:pPr>
        <w:tabs>
          <w:tab w:val="left" w:pos="1476"/>
        </w:tabs>
        <w:rPr>
          <w:sz w:val="28"/>
          <w:szCs w:val="28"/>
          <w:rtl/>
          <w:lang w:bidi="ar-IQ"/>
        </w:rPr>
      </w:pPr>
    </w:p>
    <w:p w:rsidR="00157890" w:rsidRDefault="00157890" w:rsidP="00157890">
      <w:pPr>
        <w:tabs>
          <w:tab w:val="left" w:pos="1476"/>
        </w:tabs>
        <w:rPr>
          <w:sz w:val="28"/>
          <w:szCs w:val="28"/>
          <w:rtl/>
          <w:lang w:bidi="ar-IQ"/>
        </w:rPr>
      </w:pPr>
      <w:r w:rsidRPr="00B079A6">
        <w:rPr>
          <w:rFonts w:hint="cs"/>
          <w:b/>
          <w:bCs/>
          <w:sz w:val="32"/>
          <w:szCs w:val="32"/>
          <w:rtl/>
          <w:lang w:bidi="ar-IQ"/>
        </w:rPr>
        <w:t>عصر القانون الاسلامي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المحاضرة (1</w:t>
      </w:r>
      <w:r>
        <w:rPr>
          <w:rFonts w:hint="cs"/>
          <w:sz w:val="28"/>
          <w:szCs w:val="28"/>
          <w:rtl/>
          <w:lang w:bidi="ar-IQ"/>
        </w:rPr>
        <w:t>7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)</w:t>
      </w:r>
    </w:p>
    <w:p w:rsidR="00157890" w:rsidRDefault="00157890" w:rsidP="00157890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مصادر القانون الاسلامي </w:t>
      </w:r>
    </w:p>
    <w:p w:rsidR="00157890" w:rsidRDefault="00157890" w:rsidP="00157890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المصادر الاصلية . </w:t>
      </w:r>
    </w:p>
    <w:p w:rsidR="00157890" w:rsidRDefault="00157890" w:rsidP="00157890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المصادر التبعية .</w:t>
      </w:r>
    </w:p>
    <w:p w:rsidR="00B60ECC" w:rsidRDefault="00B60ECC"/>
    <w:sectPr w:rsidR="00B60ECC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6F"/>
    <w:rsid w:val="00157890"/>
    <w:rsid w:val="001E1CC9"/>
    <w:rsid w:val="007E066F"/>
    <w:rsid w:val="00B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2019-05-29T21:28:00Z</dcterms:created>
  <dcterms:modified xsi:type="dcterms:W3CDTF">2019-05-29T21:28:00Z</dcterms:modified>
</cp:coreProperties>
</file>