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1" w:rsidRPr="00303021" w:rsidRDefault="00303021" w:rsidP="00303021">
      <w:pPr>
        <w:ind w:left="720"/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tabs>
          <w:tab w:val="center" w:pos="4680"/>
          <w:tab w:val="left" w:pos="7215"/>
        </w:tabs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  <w:t xml:space="preserve">المطلب الثالث </w:t>
      </w: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عناصر استقلال البنك المركزي عن السلطة التنفيذية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يتفق الجميع على أن استقلال البنك المركزي يجب أن يكون حقيقيا ومدعما بالوسائل اللازمة لتمكين البنك من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القيام بوظائفه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تحقيق أهدافه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، ولكي يتحقق هذا الاستقلال فلابد أن يستقل البنك بإدارة شؤونه المالية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والإدارية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والفنية 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فالاستقلال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بأوجهه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، والفنية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حجر الزاوية في تكوين البنك المركزي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وسنقف على العن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اصر المذكورة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الفر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ثلاثة التالية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:</w:t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الفرع الأول </w:t>
      </w:r>
    </w:p>
    <w:p w:rsidR="00303021" w:rsidRPr="00303021" w:rsidRDefault="00303021" w:rsidP="0030302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الاستقلال المالي للبنك المركزي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يقصد بالاستقلال المالي أن يكون تحت تصرف البنك المركزي ايرادات خاصة به يتولى البنك تحديد مقدارها بحرية كاملة تضمن قيامه باعبائه على أتم وجه ، وأن يستطيع البنك أن يحضر موازنته ، وأن يتولى إقرارها بنفسه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وأن يمسك الحسابات الخاصة به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2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مع إمكانية دعم الاستقلال المالي بوسائل ساندة أو مساعدة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vanish/>
          <w:sz w:val="28"/>
          <w:szCs w:val="28"/>
          <w:rtl/>
          <w:lang w:bidi="ar-IQ"/>
        </w:rPr>
        <w:t>و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شمول البنك المركزي بالاعفاء الضريبي ، واخضاعه لرقابة مالية تتلائم مع طبيعة نشاطه . وسنتكلم هنا بالتفصيل عن الوسائل المحققة للاستقلال المالي للبنك المركزي ، وعن الوسائل المساعدة لذلك الاستقلال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أولا : الوسائل التي يتحقق بها الاستقلال المالي للبنك المركزي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تتمثل هذه الوسائل بوجوب السماح لأن تكون للبنك موارد مالية خاصة به ، وأن يختص بموازنة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وسنتناول تلك الوسائل في البيان التالي :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1 – مقدرة البنك المركزي على تكوين موارد مالية ذاتية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إن الاستقلال المالي 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 معناه انها تستطيع ، من حيث الواقع ، تكوين الموارد المالية الخاصة بها ، ومن ثم اختيار الاسلوب الذي يلائم نشاطها ، فمتى تحقق ذلك أمكن القول بوجود استقلال مالي حقيقي أو فعلي . وبالمثل أيضا فإن اله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يئ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ة التي يتكون الجزء الأكبر من موازنتها من اعانات ، ومنح ، ومساعدات تقدمها الحكومة ، فإنها 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ذات استقلال مالي ظاهري أو فعلي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ولو اطلعنا على قوانين البنوك المركزية المقارنة لألفينا أنها أجازت أن يكون للبنك المركزي رأس مال ، لكن القوانين المذكورة اختلفت في تسمية الجهة التي تدفع رأس المال ، والجهة التي تمتلكه ، فبعضها وصف تلك الجهة بالدولة ، مثل قانون البنك المركزي الأردني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وبعضها الآخر بالحكومة ،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مصرف البحرين المركزي ، وقانون بنك الكويت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وبعض القوانين لم يحدد الجهة التي تدفع رأس مال البنك المركزي ، ولا الجهة التي تمتلك رأس المال المدفوع مثل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قانون البنك المركزي المصري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6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ومهما يكن من أمر ، فإن من يدفع رأس مال التأسيس للبنك المركزي هو الخزينة العامة للدولة ممثلة بوزارة المالية ولا يتصور أن يكون شخصا من أشخاص القانون الخاص.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وفي رأينا أن البنك المركزي مادام يتمتع بالشخصية المعنوية المستقلة ، وله ذمة مالية خاصة به فلابد أن يمتلك ، هو دون غيره ، رأس المال المدفوع له ، كيما يتحقق له الاستقلال المالي الحقيقي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ولكن إذا ما تحقق للبنك المركزي ربح من رأس ماله فأين يذهب هذا الربح ؟ وبالمقابل إذا ما تعرض البنك المذكور للخسارة فمن الجهة التي تتحمل تلك الخسارة ؟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أوجب بعض القوانين أن تذهب الأرباح إلى الحساب الاحتياطي العام ، وإلى حساب احتياطي الطوارئ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والمتبقي من الأرباح يحول إلى الخزينة العامة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7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أما الخسارة المتحققة أو العجز الحاصل فإن الدولة تتكفل بتغطيته ، وأجاز بعض القوانين أن تسترد الدولة ما دفعته من أموال إلى البنك المركزي من أرباحه المستقبلية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8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وعودة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إلى قانون البنك المركزي العراقي النافذ يلاحظ أنه خص البنك برأسمال مقداره (واحد ) ترليون دينار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تملكه الدولة بالكامل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9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، وعند تحقق أرباح صافية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0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يحول ( 80 % ) منها إلى حساب الاحتياط العام للبنك حتى تصل قيمة المبلغ في هذا الحساب إلى ( 10% ) من اجمالي أصول البنك ، وما تبقى من أرباح صافية يحول إلى أي حساب احتياطي آخر يقرر البنك انشائه ، ويتوقف توزيع الأرباح فورا إذا أدى التوزيع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إلى انخفاض أصول البنك المركزي عن مجموع خصومه ، وفي حالة تعرض موازنة البنك إلى عجز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؛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فإنه يُغطى من قبل الحكومة بعد موافقة السلطة التشريعية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1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وما يلاحظ هنا أن قانون البنك المركزي العراقي حمل الخزينة العامة مسؤولية تقديم الدعم المالي للبنك المركزي في حالة تعرضه للخسارة ، لكن القانون المذكور خلا من نص يُلزم البنك بتقديم حصة من ارباحه للخزينة العامة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مع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أن المنطق وطبيعة الأشياء يقتضيان أن تخصص حصة من أرباح البنك المركزي للخزينة العامة حسب القاعدة التي مؤداها أن الغرم بالغنم ، وهو ما سبق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قرره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المشرع في قانون البنك المركزي الملغى لسنة 1976 الذي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أوجب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في مادته ( 5 ) بأن يحتفظ البنك المركزي ب ( 10% ) من الربح الصافي في حساب احتياطي رأس المال إلى أن يبلغ هذا الحساب ما يعادل رأس المال المقر للبنك ، وأن يحتفظ البنك بنسبة لا تقل عن ( 10% ) ولا تتجاوز( 20%) من الربح الصافي في حساب احتياطي الطوارئ إلى أن يبلغ هذا الحساب ثلاثة أضعاف رأس المال المقرر للبنك ، ويدفع ما تبقى من الربح الصافي للخزينة العامة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2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 عموما فإننا نرى أن تخصيص نسبة من أرباح البنك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المركزي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للخزينة العامة من شأنه أن يحد من طلبات الحكومة في الإقتراض أو طلب المساعدة المالية من البنك الم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ذكور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حري بالاشارة إليه أن المشرع العراقي خص البنك المركزي بمورد مالي هام تمثل بالغرامات التي يفرضها البنك المذكور على المصارف التي تخالف أحكام قانون المصارف النافذ رقم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( 94 ) لسنة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2004 فحصيلة الغرامات لا تذهب إلى الخزينة العامة بل تصب في خزينة البنك المركزي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3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بوصفها مورد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مالي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خاص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به ، وهذا التخصيص من شأنه أن يُعزز ، بلا شك ، استقلال البنك المركزي في إدارة شؤونه المالية.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2 –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استقلال </w:t>
      </w:r>
      <w:r w:rsidRPr="0030302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البنك المركزي </w:t>
      </w:r>
      <w:r w:rsidRPr="0030302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بموازنة خاصة به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من المعلوم أن وجود موازنة مالية سنوية للهي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 العامة من شأنه أن يُسهم في انتظام عملية صرف النفقات وجباية الايرادات الخاصة بتلك الهي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ئا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والتعرف على حقيقة مركزها المالي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ومع ذلك فإن دولا كثيرة لم تكتف بأن تكون للبنوك المركزية موازنات خاصة بها بل ذهبت إلى أبعد من ذلك عندما خصت البنوك المذكورة بموازنات مستقلة ، وهي التي يجري اعدادها ، واقرارها بشكل مستقل عن موازنة الدولة وتظهر في وثيقة منفصلة عنها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وتعد استثناء على قاعدة وحدة الموازنة العامة 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4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ويرى بعض الكتاب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مبرر قانوني وجيه يبرر اختصاص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بموازنات مستقلة يتمثل في أن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تلك الهيئات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تمثل مصالح لها شخصية معنوية ، فلإنفصال ذمتها المالية عن ذمة الدولة وجب وضع موازنة منفصلة لها ، فالموازنة المستقلة نتيجة حتمية لتشخيص ال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هيئات العامة التي من بينها البنوك المركزية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5"/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)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وهذا الكلام ، من وجهة نظرنا ، تعوزه الدقة فتزويد جهة ما بالشخصية المعنوية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وبالإستقلا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ين المالي والإداري لا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يستتبع حتما انفراد تلك الجهة بموازنة خاصة بها مستقلة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ومنفصلة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عن موازنة الدولة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بدليل أن الوحدات الإدارية اللامركزية الإقليمية في العراق الممثلة بالمحافظة ، والقضاء ، والناحية ، لا تختص بموازنات مستقلة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6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على الرغم من تمتعها بالشخصية المعنوية المستقلة عن شخصية الدولة وبالاستقلالين المالي والإداري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7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وفي هذا تقول المحكمة الإتحادية العليا في العراق بأن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: ( ... منح الشخصية المعنوية لمؤسسة أو لدائرة حكومية لا يمنحها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بالضرورة الحق باعداد موازنتها السنوية بصورة مستقلة ومنفصلة عن مرجعها الإداري الأعلى إذ ليس هناك تلازم بين الشخصية المعنوية والميزانية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المستقلة ... )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Pr="00303021">
        <w:rPr>
          <w:rFonts w:ascii="Simplified Arabic" w:eastAsia="Calibri" w:hAnsi="Simplified Arabic" w:cs="Simplified Arabic"/>
          <w:sz w:val="28"/>
          <w:szCs w:val="28"/>
          <w:vertAlign w:val="superscript"/>
          <w:rtl/>
          <w:lang w:bidi="ar-IQ"/>
        </w:rPr>
        <w:footnoteReference w:id="18"/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عليه فإن تزويد البنك المركزي بصلاحية اعداد موازنته السنوية بصورة منفردة ومستقلة عن مشروع الموازنة العامة للدولة انما هو في الأصل خيار تشريعي يعود تقديره إلى السلطة التشريعية وحدها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متى ما خولها الدستور ذلك . فقد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ترى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السلطة التشريعية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أن ثمت ضرورات عملية تدعو إلى اختصاص البنك المذكور بموازنة مستقلة ، مثل المساعدة في إظهار حقيقة المركز المالي السنوي للبنك المركزي وعلى ضوء ذلك يستطيع البنك إما التوسع أو الإقلال من نشاطه ، أو الإبقاء عليه مع إصلاح طرق إدارته وتحسينها</w:t>
      </w:r>
      <w:r w:rsidRPr="00303021">
        <w:rPr>
          <w:rFonts w:ascii="Simplified Arabic" w:eastAsia="Calibri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إضافة إلى أن الموازنة المستقلة تمد المشرع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ذاته 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بقدر من المرونة في كيفية التصرف بالناتج المتحقق ، فقد يفضل المشرع عودة الفائض المتحقق إلى الموازنة العامة للدولة ، أو ترحيله إلى السنة المالية القادمة أو وضعه في حساب البنك المركزي الاحتياطي حيث تتوافر فرص استخدام هذا الاحتياطي 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</w:t>
      </w:r>
      <w:r w:rsidRPr="00303021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غراض الايفاء بمتطلبات السياسة النقدية ، والائتمانية ، والمصرفية .</w:t>
      </w: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والأهم من كل ذلك أن وجود موازنة مستقلة تختص بها البنوك المركزية يخلصها من ضغوط السلطة التنفيذية بحكم عدم مرور تلك الموازنة بوزارة المالية ، وعدم عرضها على الحكومة . </w:t>
      </w:r>
    </w:p>
    <w:p w:rsidR="00303021" w:rsidRPr="00303021" w:rsidRDefault="00303021" w:rsidP="00303021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303021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لكن لما كان وجود الموازنات المستقلة يمثل استثناء على قاعدة وحدة الموازنة العامة للدولة كما تقدم البيان ؛ فإن من الضروري أن يسمح الدستور بالخروج على هذه القاعدة بنص صريح كيما تجد الهيئات التي تتقرر لها تلك الموازنات سندا دستوريا يبرر خروجها عن قاعدة الوحدة . ولو اطلعنا على الدساتير المقارنة لألفينا أنها اتجهت إلى اتجاهين أثنين : دساتير اجازت العمل بالموازنات المستقلة من دون قصر تلك الموازنات على جهة معينة ، ودساتير أجازت العمل بالموازنات المستقلة مع قصرها على جهات معينة ليس من بينها البنك المركزي  . وسوف نقف على هذين الإتجاهين في البيان التالي :</w:t>
      </w:r>
    </w:p>
    <w:p w:rsidR="00D30332" w:rsidRDefault="00B107CB" w:rsidP="00303021">
      <w:pPr>
        <w:bidi/>
        <w:rPr>
          <w:lang w:bidi="ar-IQ"/>
        </w:rPr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B" w:rsidRDefault="00B107CB" w:rsidP="00303021">
      <w:pPr>
        <w:spacing w:after="0" w:line="240" w:lineRule="auto"/>
      </w:pPr>
      <w:r>
        <w:separator/>
      </w:r>
    </w:p>
  </w:endnote>
  <w:endnote w:type="continuationSeparator" w:id="0">
    <w:p w:rsidR="00B107CB" w:rsidRDefault="00B107CB" w:rsidP="003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B" w:rsidRDefault="00B107CB" w:rsidP="00303021">
      <w:pPr>
        <w:spacing w:after="0" w:line="240" w:lineRule="auto"/>
      </w:pPr>
      <w:r>
        <w:separator/>
      </w:r>
    </w:p>
  </w:footnote>
  <w:footnote w:type="continuationSeparator" w:id="0">
    <w:p w:rsidR="00B107CB" w:rsidRDefault="00B107CB" w:rsidP="00303021">
      <w:pPr>
        <w:spacing w:after="0" w:line="240" w:lineRule="auto"/>
      </w:pPr>
      <w:r>
        <w:continuationSeparator/>
      </w:r>
    </w:p>
  </w:footnote>
  <w:footnote w:id="1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في معنى الاستقلال المالي د . عصام بشور ، المالية العامة والتشريع المالي ، ط 7 ، مطبعة جامعة دمشق ، دمشق ، 1995 – 1996 ، ص55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2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86 .</w:t>
      </w:r>
      <w:r>
        <w:rPr>
          <w:rFonts w:hint="cs"/>
          <w:rtl/>
          <w:lang w:bidi="ar-IQ"/>
        </w:rPr>
        <w:t xml:space="preserve"> </w:t>
      </w:r>
    </w:p>
  </w:footnote>
  <w:footnote w:id="3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</w:t>
      </w:r>
      <w:r>
        <w:rPr>
          <w:rFonts w:hint="cs"/>
          <w:rtl/>
          <w:lang w:bidi="ar-IQ"/>
        </w:rPr>
        <w:t xml:space="preserve">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د . سعد العلوش ، نظرية المؤسسة العامة وتطبيقها في التشريع العراقي ،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السابق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ص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80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 </w:t>
      </w:r>
    </w:p>
  </w:footnote>
  <w:footnote w:id="4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</w:t>
      </w:r>
      <w:r>
        <w:rPr>
          <w:rFonts w:hint="cs"/>
          <w:rtl/>
          <w:lang w:bidi="ar-IQ"/>
        </w:rPr>
        <w:t xml:space="preserve">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( 7 ) من قانون البنك المركزي الاردني لسنة 1971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5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تنظر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الفقرة ( د ) من المادة ( 11 ) من قانون مصرف البح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رين المركزي لسنة 2006 ، والمادة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( 16 ) من قانون النقد وبنك الكويت المركزي والمهنة المصرفية المعدل لسنة 1968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6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( 3 ) من قانون البنك المركزي والجهاز المصرفي والنقد المصري رقم ( 88 ) لسنة 2003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7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أ ) من المادة ( 9 ) من قانون البنك المركزي الاردني النافذ ، والفقرة ( أ ) من المادة ( 17 ) من قانو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البنك المركزي الكويتي النافذ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والفقرة ( ب ) من المادة ( 12 ) ، وكذلك المادة ( 21 ) من قانون مصرف البحرين المركزي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8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( 2 )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الفقرة ( د ) من المادة ( 9 ) من قانون البنك المركزي الاردني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9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الفقرة ( 1 )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( 5 ) من قانون البنك المركزي العراقي النافذ المعدلة بموجب القانون رقم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( 82 ) 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2017 المنشور في الوقائع العراقية عدد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( 4475 ) ، السنة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59 ، 2 / 1 / 2018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0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( 4 )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لم يحدد قانون البنك المركزي العراقي النافذ معنى الربح الصافي خلافا لقوانين البنوك المركزية المقارنة التي ذهبت إلى هذا التحديد مثل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قانون البنك المركزي الكويتي النافذ الذي نص في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( 2 ) من المادة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( 17 ) منه بأن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...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يعتبر ربحا صافيا الأرباح التي يحققها البنك بعد اقتطاع النفقات وخصم الاحتياطات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للازمة لمواجهة الديون الهالكة أو المشكوك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فيها ... ).</w:t>
      </w:r>
      <w:r>
        <w:rPr>
          <w:rFonts w:hint="cs"/>
          <w:rtl/>
          <w:lang w:bidi="ar-IQ"/>
        </w:rPr>
        <w:t xml:space="preserve"> </w:t>
      </w:r>
    </w:p>
  </w:footnote>
  <w:footnote w:id="11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</w:t>
      </w:r>
      <w:r>
        <w:rPr>
          <w:rFonts w:hint="cs"/>
          <w:rtl/>
          <w:lang w:bidi="ar-IQ"/>
        </w:rPr>
        <w:t xml:space="preserve">1 )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المادتان ( 8 ) و ( 9 ) من قانون البنك المركزي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2">
    <w:p w:rsidR="00303021" w:rsidRPr="00CB1B6D" w:rsidRDefault="00303021" w:rsidP="00303021">
      <w:pPr>
        <w:pStyle w:val="FootnoteText"/>
        <w:jc w:val="right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 w:rsidRPr="00DC07B7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2</w:t>
      </w:r>
      <w:r w:rsidRPr="00DC07B7">
        <w:rPr>
          <w:rFonts w:ascii="Arial" w:hAnsi="Arial"/>
          <w:rtl/>
          <w:lang w:bidi="ar-IQ"/>
        </w:rPr>
        <w:t xml:space="preserve"> )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يجدر بالذكر هنا أن قانون الإدارة</w:t>
      </w:r>
      <w:r>
        <w:rPr>
          <w:rFonts w:hint="cs"/>
          <w:rtl/>
          <w:lang w:bidi="ar-IQ"/>
        </w:rPr>
        <w:t xml:space="preserve"> المالية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والدين العام العراقي الملغى رقم ( 95 ) لسنة 2004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كان قد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حدد في البند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) من الفقرة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( 7 ) من القسم ( 4) منه موارد الموازنة العامة للدولة وكان من بينها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 تحويلات الأرباح الفائضة من البنك المركزي العراقي بموجب النصوص ذات الصلة في قانون البنك المركزي ) . أما قانون الإدارة المالية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تحادية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النافذ لسنة 2019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فقد جاء خلوا من نص مماثل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 وهذا يعني أن نصوص القانون الأخير أكثر انسجاما مع قانون البنك المركزي النافذ من قانون الإدارة المُلغى</w:t>
      </w:r>
      <w:r w:rsidRPr="00CB1B6D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  </w:t>
      </w:r>
    </w:p>
  </w:footnote>
  <w:footnote w:id="13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( 3 )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>تنظر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المادة ( 58 ) من قانون المصارف العراقي النافذ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.</w:t>
      </w:r>
      <w:r>
        <w:rPr>
          <w:rFonts w:hint="cs"/>
          <w:rtl/>
          <w:lang w:bidi="ar-IQ"/>
        </w:rPr>
        <w:t xml:space="preserve"> </w:t>
      </w:r>
    </w:p>
  </w:footnote>
  <w:footnote w:id="14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محمد شاكر عصفور ، أصول الموازنة العامة ، ط 2 ، دار المسيرة للنشر والتوزيع ، عمان ، 2009 ، ص 65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  <w:footnote w:id="15">
    <w:p w:rsidR="00303021" w:rsidRPr="00E62916" w:rsidRDefault="00303021" w:rsidP="0030302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8300CB">
        <w:rPr>
          <w:rFonts w:ascii="Arial" w:hAnsi="Arial"/>
          <w:sz w:val="20"/>
          <w:szCs w:val="20"/>
          <w:rtl/>
          <w:lang w:bidi="ar-IQ"/>
        </w:rPr>
        <w:t xml:space="preserve">( </w:t>
      </w:r>
      <w:r>
        <w:rPr>
          <w:rFonts w:ascii="Arial" w:hAnsi="Arial" w:hint="cs"/>
          <w:sz w:val="20"/>
          <w:szCs w:val="20"/>
          <w:rtl/>
          <w:lang w:bidi="ar-IQ"/>
        </w:rPr>
        <w:t>2</w:t>
      </w:r>
      <w:r w:rsidRPr="008300CB">
        <w:rPr>
          <w:rFonts w:ascii="Arial" w:hAnsi="Arial"/>
          <w:sz w:val="20"/>
          <w:szCs w:val="20"/>
          <w:rtl/>
          <w:lang w:bidi="ar-IQ"/>
        </w:rPr>
        <w:t xml:space="preserve"> )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د . ابراهيم محمد الحمود ، النظام المالي للمؤسسات العامة ذات الميزانيات المستقلة في الكويت ، دراسة تحليلية من واقع ما استقر عليه العمل في الكويت ، الطبعة الأولى ، جامعة الكويت ، الكويت / 1993 ، ص 8 .</w:t>
      </w:r>
      <w:r>
        <w:rPr>
          <w:rFonts w:hint="cs"/>
          <w:rtl/>
          <w:lang w:bidi="ar-IQ"/>
        </w:rPr>
        <w:t xml:space="preserve"> </w:t>
      </w:r>
    </w:p>
  </w:footnote>
  <w:footnote w:id="16">
    <w:p w:rsidR="00303021" w:rsidRPr="007515DB" w:rsidRDefault="00303021" w:rsidP="00303021">
      <w:pPr>
        <w:pStyle w:val="FootnoteText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3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 البند ( 2 ) من الفقرة ( خامسا ) من المادة ( 7 ) من قانون المحافظات غير المنتظمة في إقليم رقم ( 21 ) لسنة 2008 بأن : ( يختص مجلس المحافظة بما يلي : المصادقة على مشرو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ع الموازنة العامة للمحافظة ...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ورفعها إلى وزارة المالية في الحكومة الإتحادية لتوحيدها مع الموازنة الفدرالية ) . </w:t>
      </w:r>
    </w:p>
  </w:footnote>
  <w:footnote w:id="17">
    <w:p w:rsidR="00303021" w:rsidRPr="00D13A16" w:rsidRDefault="00303021" w:rsidP="00303021">
      <w:pPr>
        <w:pStyle w:val="FootnoteText"/>
        <w:jc w:val="right"/>
        <w:rPr>
          <w:rFonts w:hint="cs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4</w:t>
      </w:r>
      <w:r w:rsidRPr="008300CB">
        <w:rPr>
          <w:rFonts w:ascii="Arial" w:hAnsi="Arial"/>
          <w:rtl/>
          <w:lang w:bidi="ar-IQ"/>
        </w:rPr>
        <w:t xml:space="preserve"> ) </w:t>
      </w:r>
      <w:r w:rsidRPr="007515DB">
        <w:rPr>
          <w:rFonts w:ascii="Simplified Arabic" w:hAnsi="Simplified Arabic" w:cs="Simplified Arabic"/>
          <w:sz w:val="24"/>
          <w:szCs w:val="24"/>
          <w:rtl/>
          <w:lang w:bidi="ar-IQ"/>
        </w:rPr>
        <w:t>نصت المادة ( 22 ) من قانون المحافظات غير المنتظمة بإقليم لسنة 2008 بأن : ( لكل وحدة إدارية شخصية معنوية ، واستقلال مالي وإداري ...)</w:t>
      </w:r>
      <w:r>
        <w:rPr>
          <w:rFonts w:hint="cs"/>
          <w:rtl/>
          <w:lang w:bidi="ar-IQ"/>
        </w:rPr>
        <w:t xml:space="preserve"> .</w:t>
      </w:r>
    </w:p>
  </w:footnote>
  <w:footnote w:id="18">
    <w:p w:rsidR="00303021" w:rsidRDefault="00303021" w:rsidP="00303021">
      <w:pPr>
        <w:pStyle w:val="FootnoteText"/>
        <w:jc w:val="right"/>
        <w:rPr>
          <w:rFonts w:hint="cs"/>
          <w:rtl/>
          <w:lang w:bidi="ar-IQ"/>
        </w:rPr>
      </w:pPr>
      <w:r w:rsidRPr="008300CB">
        <w:rPr>
          <w:rFonts w:ascii="Arial" w:hAnsi="Arial"/>
          <w:rtl/>
          <w:lang w:bidi="ar-IQ"/>
        </w:rPr>
        <w:t xml:space="preserve">( </w:t>
      </w:r>
      <w:r>
        <w:rPr>
          <w:rFonts w:ascii="Arial" w:hAnsi="Arial" w:hint="cs"/>
          <w:rtl/>
          <w:lang w:bidi="ar-IQ"/>
        </w:rPr>
        <w:t>1</w:t>
      </w:r>
      <w:r w:rsidRPr="008300CB">
        <w:rPr>
          <w:rFonts w:ascii="Arial" w:hAnsi="Arial"/>
          <w:rtl/>
          <w:lang w:bidi="ar-IQ"/>
        </w:rPr>
        <w:t xml:space="preserve"> )</w:t>
      </w:r>
      <w:r>
        <w:rPr>
          <w:rFonts w:hint="cs"/>
          <w:rtl/>
          <w:lang w:bidi="ar-IQ"/>
        </w:rPr>
        <w:t xml:space="preserve"> </w:t>
      </w:r>
      <w:r w:rsidRPr="00124F2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حكم المحكمة الاتحادية العليا ، العدد / 5 / اتحادية / اعلام / 2017 في 28 / 3 / 2017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1"/>
    <w:rsid w:val="00303021"/>
    <w:rsid w:val="005F5011"/>
    <w:rsid w:val="007C5B79"/>
    <w:rsid w:val="008B1A88"/>
    <w:rsid w:val="00B107CB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3021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21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3021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2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6522</Characters>
  <Application>Microsoft Office Word</Application>
  <DocSecurity>0</DocSecurity>
  <Lines>54</Lines>
  <Paragraphs>15</Paragraphs>
  <ScaleCrop>false</ScaleCrop>
  <Company>CtrlSoft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2020-03-23T15:25:00Z</dcterms:created>
  <dcterms:modified xsi:type="dcterms:W3CDTF">2020-03-23T15:25:00Z</dcterms:modified>
</cp:coreProperties>
</file>