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1" w:rsidRPr="00303021" w:rsidRDefault="00303021" w:rsidP="00303021">
      <w:pPr>
        <w:ind w:left="720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303021" w:rsidRPr="00303021" w:rsidRDefault="00303021" w:rsidP="00303021">
      <w:pPr>
        <w:tabs>
          <w:tab w:val="center" w:pos="4680"/>
          <w:tab w:val="left" w:pos="7215"/>
        </w:tabs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ab/>
        <w:t xml:space="preserve">المطلب الثالث </w:t>
      </w:r>
      <w:r w:rsidRPr="0030302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ab/>
      </w:r>
    </w:p>
    <w:p w:rsidR="00303021" w:rsidRPr="00303021" w:rsidRDefault="00303021" w:rsidP="00303021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عناصر استقلال البنك المركزي عن السلطة التنفيذية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يتفق الجميع على أن استقلال البنك المركزي يجب أن يكون حقيقيا ومدعما بالوسائل اللازمة لتمكين البنك من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القيام بوظائفه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 و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تحقيق أهدافه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، ولكي يتحقق هذا الاستقلال فلابد أن يستقل البنك بإدارة شؤونه المالية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والإدارية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 والفنية .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فالاستقلال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بأوجهه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المالي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 ،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والإداري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ة ، والفنية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ه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حجر الزاوية في تكوين البنك المركزي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وسنقف على العن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اصر المذكورة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الفر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وع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ثلاثة التالية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</w:t>
      </w:r>
    </w:p>
    <w:p w:rsidR="00303021" w:rsidRPr="00303021" w:rsidRDefault="00303021" w:rsidP="00303021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الفرع الأول </w:t>
      </w:r>
    </w:p>
    <w:p w:rsidR="00303021" w:rsidRPr="00303021" w:rsidRDefault="00303021" w:rsidP="00303021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الاستقلال المالي للبنك المركزي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يقصد بالاستقلال المالي أن يكون تحت تصرف البنك المركزي ايرادات خاصة به يتولى البنك تحديد مقدارها بحرية كاملة تضمن قيامه باعبائه على أتم وجه ، وأن يستطيع البنك أن يحضر موازنته ، وأن يتولى إقرارها بنفسه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)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 وأن يمسك الحسابات الخاصة به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2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مع إمكانية دعم الاستقلال المالي بوسائل ساندة أو مساعدة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vanish/>
          <w:sz w:val="28"/>
          <w:szCs w:val="28"/>
          <w:rtl/>
          <w:lang w:bidi="ar-IQ"/>
        </w:rPr>
        <w:t>و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مثل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شمول البنك المركزي بالاعفاء الضريبي ، واخضاعه لرقابة مالية تتلائم مع طبيعة نشاطه . وسنتكلم هنا بالتفصيل عن الوسائل المحققة للاستقلال المالي للبنك المركزي ، وعن الوسائل المساعدة لذلك الاستقلال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أولا : الوسائل التي يتحقق بها الاستقلال المالي للبنك المركزي 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تتمثل هذه الوسائل بوجوب السماح لأن تكون للبنك موارد مالية خاصة به ، وأن يختص بموازنة مستقلة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وسنتناول تلك الوسائل في البيان التالي :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1 – مقدرة البنك المركزي على تكوين موارد مالية ذاتية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إن الاستقلال المالي لهي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ئة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ما معناه انها تستطيع ، من حيث الواقع ، تكوين الموارد المالية الخاصة بها ، ومن ثم اختيار الاسلوب الذي يلائم نشاطها ، فمتى تحقق ذلك أمكن القول بوجود استقلال مالي حقيقي أو فعلي . وبالمثل أيضا فإن اله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يئ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ة التي يتكون الجزء الأكبر من موازنتها من اعانات ، ومنح ، ومساعدات تقدمها الحكومة ، فإنها هي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ئة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ذات استقلال مالي ظاهري أو فعلي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3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ولو اطلعنا على قوانين البنوك المركزية المقارنة لألفينا أنها أجازت أن يكون للبنك المركزي رأس مال ، لكن القوانين المذكورة اختلفت في تسمية الجهة التي تدفع رأس المال ، والجهة التي تمتلكه ، فبعضها وصف تلك الجهة بالدولة ، مثل قانون البنك المركزي الأردني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4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)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 وبعضها الآخر بالحكومة ، مثل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قانون مصرف البحرين المركزي ، وقانون بنك الكويت المركزي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5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وبعض القوانين لم يحدد الجهة التي تدفع رأس مال البنك المركزي ، ولا الجهة التي تمتلك رأس المال المدفوع مثل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قانون البنك المركزي المصري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6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)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 ومهما يكن من أمر ، فإن من يدفع رأس مال التأسيس للبنك المركزي هو الخزينة العامة للدولة ممثلة بوزارة المالية ولا يتصور أن يكون شخصا من أشخاص القانون الخاص.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وفي رأينا أن البنك المركزي مادام يتمتع بالشخصية المعنوية المستقلة ، وله ذمة مالية خاصة به فلابد أن يمتلك ، هو دون غيره ، رأس المال المدفوع له ، كيما يتحقق له الاستقلال المالي الحقيقي .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ولكن إذا ما تحقق للبنك المركزي ربح من رأس ماله فأين يذهب هذا الربح ؟ وبالمقابل إذا ما تعرض البنك المذكور للخسارة فمن الجهة التي تتحمل تلك الخسارة ؟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أوجب بعض القوانين أن تذهب الأرباح إلى الحساب الاحتياطي العام ، وإلى حساب احتياطي الطوارئ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 والمتبقي من الأرباح يحول إلى الخزينة العامة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 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7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 أما الخسارة المتحققة أو العجز الحاصل فإن الدولة تتكفل بتغطيته ، وأجاز بعض القوانين أن تسترد الدولة ما دفعته من أموال إلى البنك المركزي من أرباحه المستقبلية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8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)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وعودة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إلى قانون البنك المركزي العراقي النافذ يلاحظ أنه خص البنك برأسمال مقداره (واحد ) ترليون دينار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تملكه الدولة بالكامل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9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وعند تحقق أرباح صافية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0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يحول ( 80 % ) منها إلى حساب الاحتياط العام للبنك حتى تصل قيمة المبلغ في هذا الحساب إلى ( 10% ) من اجمالي أصول البنك ، وما تبقى من أرباح صافية يحول إلى أي حساب احتياطي آخر يقرر البنك انشائه ، ويتوقف توزيع الأرباح فورا إذا أدى التوزيع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إلى انخفاض أصول البنك المركزي عن مجموع خصومه ، وفي حالة تعرض موازنة البنك إلى عجز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؛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فإنه يُغطى من قبل الحكومة بعد موافقة السلطة التشريعية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1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وما يلاحظ هنا أن قانون البنك المركزي العراقي حمل الخزينة العامة مسؤولية تقديم الدعم المالي للبنك المركزي في حالة تعرضه للخسارة ، لكن القانون المذكور خلا من نص يُلزم البنك بتقديم حصة من ارباحه للخزينة العامة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مع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أن المنطق وطبيعة الأشياء يقتضيان أن تخصص حصة من أرباح البنك المركزي للخزينة العامة حسب القاعدة التي مؤداها أن الغرم بالغنم ، وهو ما سبق أن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قرره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المشرع في قانون البنك المركزي الملغى لسنة 1976 الذي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أوجب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مادته ( 5 ) بأن يحتفظ البنك المركزي ب ( 10% ) من الربح الصافي في حساب احتياطي رأس المال إلى أن يبلغ هذا الحساب ما يعادل رأس المال المقر للبنك ، وأن يحتفظ البنك بنسبة لا تقل عن ( 10% ) ولا تتجاوز( 20%) من الربح الصافي في حساب احتياطي الطوارئ إلى أن يبلغ هذا الحساب ثلاثة أضعاف رأس المال المقرر للبنك ، ويدفع ما تبقى من الربح الصافي للخزينة العامة</w:t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2"/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 عموما فإننا نرى أن تخصيص نسبة من أرباح البنك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المركزي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للخزينة العامة من شأنه أن يحد من طلبات الحكومة في الإقتراض أو طلب المساعدة المالية من البنك الم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ذكور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.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حري بالاشارة إليه أن المشرع العراقي خص البنك المركزي بمورد مالي هام تمثل بالغرامات التي يفرضها البنك المذكور على المصارف التي تخالف أحكام قانون المصارف النافذ رقم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: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( 94 ) لسنة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2004 فحصيلة الغرامات لا تذهب إلى الخزينة العامة بل تصب في خزينة البنك المركزي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3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)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بوصفها مورد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مالي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خاص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به ، وهذا التخصيص من شأنه أن يُعزز ، بلا شك ، استقلال البنك المركزي في إدارة شؤونه المالية.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2 – </w:t>
      </w:r>
      <w:r w:rsidRPr="0030302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استقلال </w:t>
      </w:r>
      <w:r w:rsidRPr="00303021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البنك المركزي </w:t>
      </w:r>
      <w:r w:rsidRPr="0030302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بموازنة خاصة به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من المعلوم أن وجود موازنة مالية سنوية للهي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ئا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 العامة من شأنه أن يُسهم في انتظام عملية صرف النفقات وجباية الايرادات الخاصة بتلك الهي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ئا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، والتعرف على حقيقة مركزها المالي ،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ومع ذلك فإن دولا كثيرة لم تكتف بأن تكون للبنوك المركزية موازنات خاصة بها بل ذهبت إلى أبعد من ذلك عندما خصت البنوك المذكورة بموازنات مستقلة ، وهي التي يجري اعدادها ، واقرارها بشكل مستقل عن موازنة الدولة وتظهر في وثيقة منفصلة عنها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وتعد استثناء على قاعدة وحدة الموازنة العامة 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4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ويرى بعض الكتاب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 ثمت مبرر قانوني وجيه يبرر اختصاص ال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هيئات العامة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بموازنات مستقلة يتمثل في أن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تلك الهيئات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تمثل مصالح لها شخصية معنوية ، فلإنفصال ذمتها المالية عن ذمة الدولة وجب وضع موازنة منفصلة لها ، فالموازنة المستقلة نتيجة حتمية لتشخيص ال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هيئات العامة التي من بينها البنوك المركزية</w:t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5"/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 xml:space="preserve">)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وهذا الكلام ، من وجهة نظرنا ، تعوزه الدقة فتزويد جهة ما بالشخصية المعنوية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 وبالإستقلا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ين المالي والإداري لا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يستتبع حتما انفراد تلك الجهة بموازنة خاصة بها مستقلة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ومنفصلة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عن موازنة الدولة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بدليل أن الوحدات الإدارية اللامركزية الإقليمية في العراق الممثلة بالمحافظة ، والقضاء ، والناحية ، لا تختص بموازنات مستقلة</w:t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6"/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على الرغم من تمتعها بالشخصية المعنوية المستقلة عن شخصية الدولة وبالاستقلالين المالي والإداري</w:t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7"/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وفي هذا تقول المحكمة الإتحادية العليا في العراق بأن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: ( ... منح الشخصية المعنوية لمؤسسة أو لدائرة حكومية لا يمنحها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بالضرورة الحق باعداد موازنتها السنوية بصورة مستقلة ومنفصلة عن مرجعها الإداري الأعلى إذ ليس هناك تلازم بين الشخصية المعنوية والميزانية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المستقلة ... )</w:t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303021">
        <w:rPr>
          <w:rFonts w:ascii="Simplified Arabic" w:eastAsia="Calibri" w:hAnsi="Simplified Arabic" w:cs="Simplified Arabic"/>
          <w:sz w:val="28"/>
          <w:szCs w:val="28"/>
          <w:vertAlign w:val="superscript"/>
          <w:rtl/>
          <w:lang w:bidi="ar-IQ"/>
        </w:rPr>
        <w:footnoteReference w:id="18"/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عليه فإن تزويد البنك المركزي بصلاحية اعداد موازنته السنوية بصورة منفردة ومستقلة عن مشروع الموازنة العامة للدولة انما هو في الأصل خيار تشريعي يعود تقديره إلى السلطة التشريعية وحدها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متى ما خولها الدستور ذلك . فقد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ترى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السلطة التشريعية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 ثمت ضرورات عملية تدعو إلى اختصاص البنك المذكور بموازنة مستقلة ، مثل المساعدة في إظهار حقيقة المركز المالي السنوي للبنك المركزي وعلى ضوء ذلك يستطيع البنك إما التوسع أو الإقلال من نشاطه ، أو الإبقاء عليه مع إصلاح طرق إدارته وتحسينها</w:t>
      </w:r>
      <w:r w:rsidRPr="00303021">
        <w:rPr>
          <w:rFonts w:ascii="Simplified Arabic" w:eastAsia="Calibri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إضافة إلى أن الموازنة المستقلة تمد المشرع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ذاته 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بقدر من المرونة في كيفية التصرف بالناتج المتحقق ، فقد يفضل المشرع عودة الفائض المتحقق إلى الموازنة العامة للدولة ، أو ترحيله إلى السنة المالية القادمة أو وضعه في حساب البنك المركزي الاحتياطي حيث تتوافر فرص استخدام هذا الاحتياطي 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لأ</w:t>
      </w:r>
      <w:r w:rsidRPr="0030302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غراض الايفاء بمتطلبات السياسة النقدية ، والائتمانية ، والمصرفية .</w:t>
      </w: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والأهم من كل ذلك أن وجود موازنة مستقلة تختص بها البنوك المركزية يخلصها من ضغوط السلطة التنفيذية بحكم عدم مرور تلك الموازنة بوزارة المالية ، وعدم عرضها على الحكومة . </w:t>
      </w:r>
    </w:p>
    <w:p w:rsidR="00303021" w:rsidRPr="00303021" w:rsidRDefault="00303021" w:rsidP="00303021">
      <w:pPr>
        <w:jc w:val="right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30302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لكن لما كان وجود الموازنات المستقلة يمثل استثناء على قاعدة وحدة الموازنة العامة للدولة كما تقدم البيان ؛ فإن من الضروري أن يسمح الدستور بالخروج على هذه القاعدة بنص صريح كيما تجد الهيئات التي تتقرر لها تلك الموازنات سندا دستوريا يبرر خروجها عن قاعدة الوحدة . ولو اطلعنا على الدساتير المقارنة لألفينا أنها اتجهت إلى اتجاهين أثنين : دساتير اجازت العمل بالموازنات المستقلة من دون قصر تلك الموازنات على جهة معينة ، ودساتير أجازت العمل بالموازنات المستقلة مع قصرها على جهات معينة ليس من بينها البنك المركزي  . وسوف نقف على هذين الإتجاهين في البيان التالي :</w:t>
      </w:r>
    </w:p>
    <w:p w:rsidR="00D30332" w:rsidRDefault="00B107CB" w:rsidP="00303021">
      <w:pPr>
        <w:bidi/>
        <w:rPr>
          <w:lang w:bidi="ar-IQ"/>
        </w:rPr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B" w:rsidRDefault="00B107CB" w:rsidP="00303021">
      <w:pPr>
        <w:spacing w:after="0" w:line="240" w:lineRule="auto"/>
      </w:pPr>
      <w:r>
        <w:separator/>
      </w:r>
    </w:p>
  </w:endnote>
  <w:endnote w:type="continuationSeparator" w:id="0">
    <w:p w:rsidR="00B107CB" w:rsidRDefault="00B107CB" w:rsidP="0030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B" w:rsidRDefault="00B107CB" w:rsidP="00303021">
      <w:pPr>
        <w:spacing w:after="0" w:line="240" w:lineRule="auto"/>
      </w:pPr>
      <w:r>
        <w:separator/>
      </w:r>
    </w:p>
  </w:footnote>
  <w:footnote w:type="continuationSeparator" w:id="0">
    <w:p w:rsidR="00B107CB" w:rsidRDefault="00B107CB" w:rsidP="00303021">
      <w:pPr>
        <w:spacing w:after="0" w:line="240" w:lineRule="auto"/>
      </w:pPr>
      <w:r>
        <w:continuationSeparator/>
      </w:r>
    </w:p>
  </w:footnote>
  <w:footnote w:id="1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( 1 )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ينظر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في معنى الاستقلال المالي د . عصام بشور ، المالية العامة والتشريع المالي ، ط 7 ، مطبعة جامعة دمشق ، دمشق ، 1995 – 1996 ، ص55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r>
        <w:rPr>
          <w:rFonts w:hint="cs"/>
          <w:rtl/>
          <w:lang w:bidi="ar-IQ"/>
        </w:rPr>
        <w:t xml:space="preserve"> </w:t>
      </w:r>
    </w:p>
  </w:footnote>
  <w:footnote w:id="2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( 2 )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د . سعد العلوش ، نظرية المؤسسة العامة وتطبيقها في التشريع العراقي ،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المصدر السابق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ص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86 .</w:t>
      </w:r>
      <w:r>
        <w:rPr>
          <w:rFonts w:hint="cs"/>
          <w:rtl/>
          <w:lang w:bidi="ar-IQ"/>
        </w:rPr>
        <w:t xml:space="preserve"> </w:t>
      </w:r>
    </w:p>
  </w:footnote>
  <w:footnote w:id="3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</w:t>
      </w:r>
      <w:r>
        <w:rPr>
          <w:rFonts w:hint="cs"/>
          <w:rtl/>
          <w:lang w:bidi="ar-IQ"/>
        </w:rPr>
        <w:t xml:space="preserve">1 )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د . سعد العلوش ، نظرية المؤسسة العامة وتطبيقها في التشريع العراقي ،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المصدر السابق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ص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80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.</w:t>
      </w:r>
      <w:r>
        <w:rPr>
          <w:rFonts w:hint="cs"/>
          <w:rtl/>
          <w:lang w:bidi="ar-IQ"/>
        </w:rPr>
        <w:t xml:space="preserve">  </w:t>
      </w:r>
    </w:p>
  </w:footnote>
  <w:footnote w:id="4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</w:t>
      </w:r>
      <w:r>
        <w:rPr>
          <w:rFonts w:hint="cs"/>
          <w:rtl/>
          <w:lang w:bidi="ar-IQ"/>
        </w:rPr>
        <w:t xml:space="preserve">2 )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تنظر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المادة ( 7 ) من قانون البنك المركزي الاردني لسنة 1971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</w:p>
  </w:footnote>
  <w:footnote w:id="5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( 3 )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تنظر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الفقرة ( د ) من المادة ( 11 ) من قانون مصرف البح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رين المركزي لسنة 2006 ، والمادة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( 16 ) من قانون النقد وبنك الكويت المركزي والمهنة المصرفية المعدل لسنة 1968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</w:p>
  </w:footnote>
  <w:footnote w:id="6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( 4 )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تنظر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المادة ( 3 ) من قانون البنك المركزي والجهاز المصرفي والنقد المصري رقم ( 88 ) لسنة 2003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</w:p>
  </w:footnote>
  <w:footnote w:id="7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( 1 )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تنظر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الفقرة ( أ ) من المادة ( 9 ) من قانون البنك المركزي الاردني النافذ ، والفقرة ( أ ) من المادة ( 17 ) من قانو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ن البنك المركزي الكويتي النافذ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،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والفقرة ( ب ) من المادة ( 12 ) ، وكذلك المادة ( 21 ) من قانون مصرف البحرين المركزي النافذ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r>
        <w:rPr>
          <w:rFonts w:hint="cs"/>
          <w:rtl/>
          <w:lang w:bidi="ar-IQ"/>
        </w:rPr>
        <w:t xml:space="preserve"> </w:t>
      </w:r>
    </w:p>
  </w:footnote>
  <w:footnote w:id="8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( 2 )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تنظر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الفقرة ( د ) من المادة ( 9 ) من قانون البنك المركزي الاردني النافذ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r>
        <w:rPr>
          <w:rFonts w:hint="cs"/>
          <w:rtl/>
          <w:lang w:bidi="ar-IQ"/>
        </w:rPr>
        <w:t xml:space="preserve"> </w:t>
      </w:r>
    </w:p>
  </w:footnote>
  <w:footnote w:id="9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( 3 )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تنظر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الفقرة ( 1 ) من المادة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( 5 ) من قانون البنك المركزي العراقي النافذ المعدلة بموجب القانون رقم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( 82 ) لسنة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2017 المنشور في الوقائع العراقية عدد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( 4475 ) ، السنة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59 ، 2 / 1 / 2018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r>
        <w:rPr>
          <w:rFonts w:hint="cs"/>
          <w:rtl/>
          <w:lang w:bidi="ar-IQ"/>
        </w:rPr>
        <w:t xml:space="preserve"> </w:t>
      </w:r>
    </w:p>
  </w:footnote>
  <w:footnote w:id="10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( 4 )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لم يحدد قانون البنك المركزي العراقي النافذ معنى الربح الصافي خلافا لقوانين البنوك المركزية المقارنة التي ذهبت إلى هذا التحديد مثل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قانون البنك المركزي الكويتي النافذ الذي نص في الفقرة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( 2 ) من المادة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: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( 17 ) منه بأن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.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...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يعتبر ربحا صافيا الأرباح التي يحققها البنك بعد اقتطاع النفقات وخصم الاحتياطات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للازمة لمواجهة الديون الهالكة أو المشكوك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فيها ... ).</w:t>
      </w:r>
      <w:r>
        <w:rPr>
          <w:rFonts w:hint="cs"/>
          <w:rtl/>
          <w:lang w:bidi="ar-IQ"/>
        </w:rPr>
        <w:t xml:space="preserve"> </w:t>
      </w:r>
    </w:p>
  </w:footnote>
  <w:footnote w:id="11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</w:t>
      </w:r>
      <w:r>
        <w:rPr>
          <w:rFonts w:hint="cs"/>
          <w:rtl/>
          <w:lang w:bidi="ar-IQ"/>
        </w:rPr>
        <w:t xml:space="preserve">1 )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تنظر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المادتان ( 8 ) و ( 9 ) من قانون البنك المركزي العراقي النافذ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r>
        <w:rPr>
          <w:rFonts w:hint="cs"/>
          <w:rtl/>
          <w:lang w:bidi="ar-IQ"/>
        </w:rPr>
        <w:t xml:space="preserve"> </w:t>
      </w:r>
    </w:p>
  </w:footnote>
  <w:footnote w:id="12">
    <w:p w:rsidR="00303021" w:rsidRPr="00CB1B6D" w:rsidRDefault="00303021" w:rsidP="00303021">
      <w:pPr>
        <w:pStyle w:val="FootnoteText"/>
        <w:jc w:val="right"/>
        <w:rPr>
          <w:rFonts w:ascii="Simplified Arabic" w:hAnsi="Simplified Arabic" w:cs="Simplified Arabic" w:hint="cs"/>
          <w:sz w:val="24"/>
          <w:szCs w:val="24"/>
          <w:rtl/>
          <w:lang w:bidi="ar-IQ"/>
        </w:rPr>
      </w:pPr>
      <w:r w:rsidRPr="00DC07B7">
        <w:rPr>
          <w:rFonts w:ascii="Arial" w:hAnsi="Arial"/>
          <w:rtl/>
          <w:lang w:bidi="ar-IQ"/>
        </w:rPr>
        <w:t xml:space="preserve">( </w:t>
      </w:r>
      <w:r>
        <w:rPr>
          <w:rFonts w:ascii="Arial" w:hAnsi="Arial" w:hint="cs"/>
          <w:rtl/>
          <w:lang w:bidi="ar-IQ"/>
        </w:rPr>
        <w:t>2</w:t>
      </w:r>
      <w:r w:rsidRPr="00DC07B7">
        <w:rPr>
          <w:rFonts w:ascii="Arial" w:hAnsi="Arial"/>
          <w:rtl/>
          <w:lang w:bidi="ar-IQ"/>
        </w:rPr>
        <w:t xml:space="preserve"> ) 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>يجدر بالذكر هنا أن قانون الإدارة</w:t>
      </w:r>
      <w:r>
        <w:rPr>
          <w:rFonts w:hint="cs"/>
          <w:rtl/>
          <w:lang w:bidi="ar-IQ"/>
        </w:rPr>
        <w:t xml:space="preserve"> المالية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والدين العام العراقي الملغى رقم ( 95 ) لسنة 2004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كان قد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حدد في البند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>( و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من الفقرة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>( 7 ) من القسم ( 4) منه موارد الموازنة العامة للدولة وكان من بينها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تحويلات الأرباح الفائضة من البنك المركزي العراقي بموجب النصوص ذات الصلة في قانون البنك المركزي ) . أما قانون الإدارة المالية ال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إ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>تحادية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النافذ لسنة 2019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فقد جاء خلوا من نص مماثل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، وهذا يعني أن نصوص القانون الأخير أكثر انسجاما مع قانون البنك المركزي النافذ من قانون الإدارة المُلغى</w:t>
      </w:r>
      <w:r w:rsidRPr="00CB1B6D">
        <w:rPr>
          <w:rFonts w:ascii="Simplified Arabic" w:hAnsi="Simplified Arabic" w:cs="Simplified Arabic"/>
          <w:sz w:val="24"/>
          <w:szCs w:val="24"/>
          <w:rtl/>
          <w:lang w:bidi="ar-IQ"/>
        </w:rPr>
        <w:t>.</w:t>
      </w:r>
      <w:r>
        <w:rPr>
          <w:rFonts w:hint="cs"/>
          <w:rtl/>
          <w:lang w:bidi="ar-IQ"/>
        </w:rPr>
        <w:t xml:space="preserve">   </w:t>
      </w:r>
    </w:p>
  </w:footnote>
  <w:footnote w:id="13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( 3 )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>تنظر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: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المادة ( 58 ) من قانون المصارف العراقي النافذ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.</w:t>
      </w:r>
      <w:r>
        <w:rPr>
          <w:rFonts w:hint="cs"/>
          <w:rtl/>
          <w:lang w:bidi="ar-IQ"/>
        </w:rPr>
        <w:t xml:space="preserve"> </w:t>
      </w:r>
    </w:p>
  </w:footnote>
  <w:footnote w:id="14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 w:rsidRPr="008300CB">
        <w:rPr>
          <w:rFonts w:ascii="Arial" w:hAnsi="Arial"/>
          <w:rtl/>
          <w:lang w:bidi="ar-IQ"/>
        </w:rPr>
        <w:t xml:space="preserve">( </w:t>
      </w:r>
      <w:r>
        <w:rPr>
          <w:rFonts w:ascii="Arial" w:hAnsi="Arial" w:hint="cs"/>
          <w:rtl/>
          <w:lang w:bidi="ar-IQ"/>
        </w:rPr>
        <w:t>1</w:t>
      </w:r>
      <w:r w:rsidRPr="008300CB">
        <w:rPr>
          <w:rFonts w:ascii="Arial" w:hAnsi="Arial"/>
          <w:rtl/>
          <w:lang w:bidi="ar-IQ"/>
        </w:rPr>
        <w:t xml:space="preserve"> )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محمد شاكر عصفور ، أصول الموازنة العامة ، ط 2 ، دار المسيرة للنشر والتوزيع ، عمان ، 2009 ، ص 65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</w:p>
  </w:footnote>
  <w:footnote w:id="15">
    <w:p w:rsidR="00303021" w:rsidRPr="00E62916" w:rsidRDefault="00303021" w:rsidP="0030302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8300CB">
        <w:rPr>
          <w:rFonts w:ascii="Arial" w:hAnsi="Arial"/>
          <w:sz w:val="20"/>
          <w:szCs w:val="20"/>
          <w:rtl/>
          <w:lang w:bidi="ar-IQ"/>
        </w:rPr>
        <w:t xml:space="preserve">( </w:t>
      </w:r>
      <w:r>
        <w:rPr>
          <w:rFonts w:ascii="Arial" w:hAnsi="Arial" w:hint="cs"/>
          <w:sz w:val="20"/>
          <w:szCs w:val="20"/>
          <w:rtl/>
          <w:lang w:bidi="ar-IQ"/>
        </w:rPr>
        <w:t>2</w:t>
      </w:r>
      <w:r w:rsidRPr="008300CB">
        <w:rPr>
          <w:rFonts w:ascii="Arial" w:hAnsi="Arial"/>
          <w:sz w:val="20"/>
          <w:szCs w:val="20"/>
          <w:rtl/>
          <w:lang w:bidi="ar-IQ"/>
        </w:rPr>
        <w:t xml:space="preserve"> )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د . ابراهيم محمد الحمود ، النظام المالي للمؤسسات العامة ذات الميزانيات المستقلة في الكويت ، دراسة تحليلية من واقع ما استقر عليه العمل في الكويت ، الطبعة الأولى ، جامعة الكويت ، الكويت / 1993 ، ص 8 .</w:t>
      </w:r>
      <w:r>
        <w:rPr>
          <w:rFonts w:hint="cs"/>
          <w:rtl/>
          <w:lang w:bidi="ar-IQ"/>
        </w:rPr>
        <w:t xml:space="preserve"> </w:t>
      </w:r>
    </w:p>
  </w:footnote>
  <w:footnote w:id="16">
    <w:p w:rsidR="00303021" w:rsidRPr="007515DB" w:rsidRDefault="00303021" w:rsidP="00303021">
      <w:pPr>
        <w:pStyle w:val="FootnoteText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8300CB">
        <w:rPr>
          <w:rFonts w:ascii="Arial" w:hAnsi="Arial"/>
          <w:rtl/>
          <w:lang w:bidi="ar-IQ"/>
        </w:rPr>
        <w:t xml:space="preserve">( </w:t>
      </w:r>
      <w:r>
        <w:rPr>
          <w:rFonts w:ascii="Arial" w:hAnsi="Arial" w:hint="cs"/>
          <w:rtl/>
          <w:lang w:bidi="ar-IQ"/>
        </w:rPr>
        <w:t>3</w:t>
      </w:r>
      <w:r w:rsidRPr="008300CB">
        <w:rPr>
          <w:rFonts w:ascii="Arial" w:hAnsi="Arial"/>
          <w:rtl/>
          <w:lang w:bidi="ar-IQ"/>
        </w:rPr>
        <w:t xml:space="preserve"> ) </w:t>
      </w:r>
      <w:r w:rsidRPr="007515DB">
        <w:rPr>
          <w:rFonts w:ascii="Simplified Arabic" w:hAnsi="Simplified Arabic" w:cs="Simplified Arabic"/>
          <w:sz w:val="24"/>
          <w:szCs w:val="24"/>
          <w:rtl/>
          <w:lang w:bidi="ar-IQ"/>
        </w:rPr>
        <w:t>نص البند ( 2 ) من الفقرة ( خامسا ) من المادة ( 7 ) من قانون المحافظات غير المنتظمة في إقليم رقم ( 21 ) لسنة 2008 بأن : ( يختص مجلس المحافظة بما يلي : المصادقة على مشرو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ع الموازنة العامة للمحافظة ...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7515D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ورفعها إلى وزارة المالية في الحكومة الإتحادية لتوحيدها مع الموازنة الفدرالية ) . </w:t>
      </w:r>
    </w:p>
  </w:footnote>
  <w:footnote w:id="17">
    <w:p w:rsidR="00303021" w:rsidRPr="00D13A16" w:rsidRDefault="00303021" w:rsidP="00303021">
      <w:pPr>
        <w:pStyle w:val="FootnoteText"/>
        <w:jc w:val="right"/>
        <w:rPr>
          <w:rFonts w:hint="cs"/>
          <w:rtl/>
          <w:lang w:bidi="ar-IQ"/>
        </w:rPr>
      </w:pPr>
      <w:r w:rsidRPr="008300CB">
        <w:rPr>
          <w:rFonts w:ascii="Arial" w:hAnsi="Arial"/>
          <w:rtl/>
          <w:lang w:bidi="ar-IQ"/>
        </w:rPr>
        <w:t xml:space="preserve">( </w:t>
      </w:r>
      <w:r>
        <w:rPr>
          <w:rFonts w:ascii="Arial" w:hAnsi="Arial" w:hint="cs"/>
          <w:rtl/>
          <w:lang w:bidi="ar-IQ"/>
        </w:rPr>
        <w:t>4</w:t>
      </w:r>
      <w:r w:rsidRPr="008300CB">
        <w:rPr>
          <w:rFonts w:ascii="Arial" w:hAnsi="Arial"/>
          <w:rtl/>
          <w:lang w:bidi="ar-IQ"/>
        </w:rPr>
        <w:t xml:space="preserve"> ) </w:t>
      </w:r>
      <w:r w:rsidRPr="007515DB">
        <w:rPr>
          <w:rFonts w:ascii="Simplified Arabic" w:hAnsi="Simplified Arabic" w:cs="Simplified Arabic"/>
          <w:sz w:val="24"/>
          <w:szCs w:val="24"/>
          <w:rtl/>
          <w:lang w:bidi="ar-IQ"/>
        </w:rPr>
        <w:t>نصت المادة ( 22 ) من قانون المحافظات غير المنتظمة بإقليم لسنة 2008 بأن : ( لكل وحدة إدارية شخصية معنوية ، واستقلال مالي وإداري ...)</w:t>
      </w:r>
      <w:r>
        <w:rPr>
          <w:rFonts w:hint="cs"/>
          <w:rtl/>
          <w:lang w:bidi="ar-IQ"/>
        </w:rPr>
        <w:t xml:space="preserve"> .</w:t>
      </w:r>
    </w:p>
  </w:footnote>
  <w:footnote w:id="18">
    <w:p w:rsidR="00303021" w:rsidRDefault="00303021" w:rsidP="00303021">
      <w:pPr>
        <w:pStyle w:val="FootnoteText"/>
        <w:jc w:val="right"/>
        <w:rPr>
          <w:rFonts w:hint="cs"/>
          <w:rtl/>
          <w:lang w:bidi="ar-IQ"/>
        </w:rPr>
      </w:pPr>
      <w:r w:rsidRPr="008300CB">
        <w:rPr>
          <w:rFonts w:ascii="Arial" w:hAnsi="Arial"/>
          <w:rtl/>
          <w:lang w:bidi="ar-IQ"/>
        </w:rPr>
        <w:t xml:space="preserve">( </w:t>
      </w:r>
      <w:r>
        <w:rPr>
          <w:rFonts w:ascii="Arial" w:hAnsi="Arial" w:hint="cs"/>
          <w:rtl/>
          <w:lang w:bidi="ar-IQ"/>
        </w:rPr>
        <w:t>1</w:t>
      </w:r>
      <w:r w:rsidRPr="008300CB">
        <w:rPr>
          <w:rFonts w:ascii="Arial" w:hAnsi="Arial"/>
          <w:rtl/>
          <w:lang w:bidi="ar-IQ"/>
        </w:rPr>
        <w:t xml:space="preserve"> )</w:t>
      </w:r>
      <w:r>
        <w:rPr>
          <w:rFonts w:hint="cs"/>
          <w:rtl/>
          <w:lang w:bidi="ar-IQ"/>
        </w:rPr>
        <w:t xml:space="preserve"> </w:t>
      </w:r>
      <w:r w:rsidRPr="00124F20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حكم المحكمة الاتحادية العليا ، العدد / 5 / اتحادية / اعلام / 2017 في 28 / 3 / 2017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  <w:r>
        <w:rPr>
          <w:rFonts w:hint="cs"/>
          <w:rtl/>
          <w:lang w:bidi="ar-IQ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21"/>
    <w:rsid w:val="00303021"/>
    <w:rsid w:val="005F5011"/>
    <w:rsid w:val="007C5B79"/>
    <w:rsid w:val="008B1A88"/>
    <w:rsid w:val="00B107CB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3021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021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3021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021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6522</Characters>
  <Application>Microsoft Office Word</Application>
  <DocSecurity>0</DocSecurity>
  <Lines>54</Lines>
  <Paragraphs>15</Paragraphs>
  <ScaleCrop>false</ScaleCrop>
  <Company>CtrlSoft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2020-03-23T15:25:00Z</dcterms:created>
  <dcterms:modified xsi:type="dcterms:W3CDTF">2020-03-23T15:25:00Z</dcterms:modified>
</cp:coreProperties>
</file>