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66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321360"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أنواع الم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ُ</w:t>
      </w:r>
      <w:r w:rsidRPr="00321360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لحقات وأسبابها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تنطوي الملحقات على أنواع كثيرة ، تقف ورائها أسباب عدة يحسن بنا تناولها في الفرعين التاليين :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الفرع الأول : أنواع المُلحقات 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الفرع الثاني أسباب المُلحقات .</w:t>
      </w:r>
    </w:p>
    <w:p w:rsidR="00ED2866" w:rsidRDefault="00ED2866" w:rsidP="00ED2866">
      <w:pPr>
        <w:bidi/>
        <w:jc w:val="mediumKashida"/>
        <w:rPr>
          <w:rFonts w:ascii="Arial" w:hAnsi="Arial" w:cs="Arial"/>
          <w:sz w:val="28"/>
          <w:szCs w:val="28"/>
          <w:rtl/>
          <w:lang w:bidi="ar-IQ"/>
        </w:rPr>
      </w:pPr>
    </w:p>
    <w:p w:rsidR="00ED2866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الفرع الأول</w:t>
      </w:r>
    </w:p>
    <w:p w:rsidR="00ED2866" w:rsidRPr="006428F9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أنواع المُلحقات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تتنوع المُلحقات التي تتبع الموازنة الى انواع متباينة ، وتختلف بإختلاف الزاوية التي ينظر من خلالها إلى تلك المُلحقات . ويمكن لنا أن نقسمها على نوعين : مُلحقات من حيث الشكل ، ومُلحقات من حيث الموضوع . وسوف نسلط الضوء على هذين الضربين من المُلحقات في البيان التالي :</w:t>
      </w:r>
    </w:p>
    <w:p w:rsidR="00ED2866" w:rsidRPr="006428F9" w:rsidRDefault="00ED2866" w:rsidP="00ED2866">
      <w:pPr>
        <w:bidi/>
        <w:ind w:firstLine="571"/>
        <w:jc w:val="mediumKashida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أولا : </w:t>
      </w:r>
      <w:r w:rsidRPr="006428F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ُ</w:t>
      </w:r>
      <w:r w:rsidRPr="006428F9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لحقات من حيث شكلها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تأخذ المُلحقات من حيث صياغتها أو مظهرها الخارجي مظهرين أثنين ، الأول : مُلحقات تتخذ شكل نصوص متعددة تتناول بالتنظيم موضوعات مختلفة ، لا يجمعها عنوان واحد . وقد تأخذ المُلحقات شكل قانون متكامل يُقنن موضوعا محددا ، ويضم موادا متعددة يجمعها عنوان واحد . ومن أمثلة هذا النوع من الملحقات قانون رسم الأيلولة على التركات المصري الملغى الذي أُلحق بقانون الموازنة العامة المصرية لسنة 1939</w:t>
      </w:r>
      <w:r w:rsidRPr="002E2CF4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(</w:t>
      </w:r>
      <w:r w:rsidRPr="002E2CF4">
        <w:rPr>
          <w:rStyle w:val="FootnoteReference"/>
          <w:rFonts w:ascii="Arial" w:hAnsi="Arial" w:cs="Arial"/>
          <w:sz w:val="28"/>
          <w:szCs w:val="28"/>
          <w:rtl/>
          <w:lang w:bidi="ar-IQ"/>
        </w:rPr>
        <w:footnoteReference w:id="1"/>
      </w:r>
      <w:r w:rsidRPr="002E2CF4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 w:rsidRPr="006428F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ثانيا : الم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ُ</w:t>
      </w:r>
      <w:r w:rsidRPr="006428F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لحقات من حيث موضوعها 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تنقسم المُلحقات من حيث موضوعها على ثلاثة أنواع ، مالية : وتجارية ، وإدارية . والمُلحقات المالية هي : أحكام ذات صبغة مالية يلحقها المشرع بقانون الموازنة ليفرض بموجبها أعباء مالية جديدة على المكلفين أو يخفف منها أو يلغيها 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  أما المُلحقات الإدارية فهي النصوص التي ترد في الموازنة ، وتعالج موضوعات إدارية بطبيعتها ،مثل: تنظيم أوضاع العاملين في المرافق العامة للدولة من حيث تعيينهم على الملاك الدائم أو المؤقت ، وحقوقهم وواجباتهم الوظيفية 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lastRenderedPageBreak/>
        <w:t>وأخيرا قد ترد في الموازنة نصوص ينظم المشرع بمقتضاها عمليات ذات طبيعة تجارية ، مثل : تنظيم الأعمال المصرفية ، والإستثمارية .</w:t>
      </w:r>
    </w:p>
    <w:p w:rsidR="00ED2866" w:rsidRDefault="00ED2866" w:rsidP="00ED2866">
      <w:pPr>
        <w:bidi/>
        <w:jc w:val="mediumKashida"/>
        <w:rPr>
          <w:rFonts w:ascii="Arial" w:hAnsi="Arial" w:cs="Arial"/>
          <w:sz w:val="28"/>
          <w:szCs w:val="28"/>
          <w:rtl/>
          <w:lang w:bidi="ar-IQ"/>
        </w:rPr>
      </w:pPr>
    </w:p>
    <w:p w:rsidR="00ED2866" w:rsidRPr="00213B52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213B5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الفرع الثاني</w:t>
      </w:r>
    </w:p>
    <w:p w:rsidR="00ED2866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أسباب المُلحقات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ثمت سببان يدفعان السلطات العامة سيما السلطة التنفيذية الى إقران مشروع الموازنة بالمُلحقات . والسببان هما :</w:t>
      </w:r>
    </w:p>
    <w:p w:rsidR="00ED2866" w:rsidRPr="00213B52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 w:rsidRPr="00456F2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أولا :</w:t>
      </w:r>
      <w:r>
        <w:rPr>
          <w:rFonts w:ascii="Arial" w:hAnsi="Arial" w:cs="Arial" w:hint="cs"/>
          <w:sz w:val="28"/>
          <w:szCs w:val="28"/>
          <w:rtl/>
          <w:lang w:bidi="ar-IQ"/>
        </w:rPr>
        <w:t>إجتناب البطء المألوف في الإجراءات التشريعية المعتادة ، فبدلا من قيام السلطة التنفيذية بإعداد مشروعات قوانين مستقلة بالأحكام القانونية المراد إصدارها ، وما يتطلبه ذلك من مدد طويلة ، وإجراءات معقدة ، فإن السلطة المذكورة تعمد الى حشر تلك الأحكام بمشروع الموازنة ، وتقديمه الى السلطة التشريعية  مستفيدة من أن المهلة المعطاة للسلطة التشريعية لإقرار الموازنة هي مهلة قصيرة نسبيا ، لا تتجاوز عادة الشهرين 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 w:rsidRPr="00456F22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ثانيا </w:t>
      </w:r>
      <w:r>
        <w:rPr>
          <w:rFonts w:ascii="Arial" w:hAnsi="Arial" w:cs="Arial" w:hint="cs"/>
          <w:sz w:val="28"/>
          <w:szCs w:val="28"/>
          <w:rtl/>
          <w:lang w:bidi="ar-IQ"/>
        </w:rPr>
        <w:t>: إحراج السلطة التشريعية التي يخشى منها عدم الموافقة على التشريع المُلحق إذا نظرت فيه على حدة ، فبضم التشريع الى الموازنة يغدو قبول السلطة التشريعية للموازنة مقرونا بقبول التشريع المُلحق</w:t>
      </w:r>
      <w:r w:rsidRPr="002E2CF4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(</w:t>
      </w:r>
      <w:r w:rsidRPr="002E2CF4">
        <w:rPr>
          <w:rStyle w:val="FootnoteReference"/>
          <w:rFonts w:ascii="Arial" w:hAnsi="Arial" w:cs="Arial"/>
          <w:sz w:val="28"/>
          <w:szCs w:val="28"/>
          <w:rtl/>
          <w:lang w:bidi="ar-IQ"/>
        </w:rPr>
        <w:footnoteReference w:id="2"/>
      </w:r>
      <w:r w:rsidRPr="002E2CF4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ED2866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المبحث الثاني</w:t>
      </w:r>
    </w:p>
    <w:p w:rsidR="00ED2866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الموقف من مُلحقات الموازنة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ثبت ، لكثير من الدول ، أن إلحاق أحكام بالموازنة العامة غريبة عنها ، وإن كان يوفر وقتا وجهدا ، ويضمن السرعة في إصدار تلك الأحكام ، إلا ان ذلك يعد مسلكا تشريعيا معيبا ، تترتب عليه عواقب وخيمة على مالية الدولة .فكان طبيعيا إزاء خطورة المُلحقات أن تتصدى لها التشريعات ، وأن يُبدي الفقه موقفه منها، وان يُصدرالقضاء احكامه فيها . وسوف نقف في هذا المبحث على المعالجات المذكورة في  المطلبين التاليين :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المطلب الأول : الموقفان الدستوري والقانوني من ملحقات الموازنة .</w:t>
      </w:r>
    </w:p>
    <w:p w:rsidR="00ED2866" w:rsidRPr="00D76804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المطلب الثاني : الموقفان الفقهي والقضائي من ملحقات الموازنة .  </w:t>
      </w:r>
    </w:p>
    <w:p w:rsidR="00ED2866" w:rsidRPr="0085705F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85705F">
        <w:rPr>
          <w:rFonts w:ascii="Arial" w:hAnsi="Arial" w:cs="Arial" w:hint="cs"/>
          <w:b/>
          <w:bCs/>
          <w:sz w:val="32"/>
          <w:szCs w:val="32"/>
          <w:rtl/>
          <w:lang w:bidi="ar-IQ"/>
        </w:rPr>
        <w:lastRenderedPageBreak/>
        <w:t>المطلب</w:t>
      </w:r>
      <w:r w:rsidRPr="0085705F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85705F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الأول</w:t>
      </w:r>
    </w:p>
    <w:p w:rsidR="00ED2866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85705F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الموقف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ان</w:t>
      </w:r>
      <w:r w:rsidRPr="0085705F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الدستوري والقانوني</w:t>
      </w:r>
      <w:r w:rsidRPr="0085705F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85705F">
        <w:rPr>
          <w:rFonts w:ascii="Arial" w:hAnsi="Arial" w:cs="Arial" w:hint="cs"/>
          <w:b/>
          <w:bCs/>
          <w:sz w:val="32"/>
          <w:szCs w:val="32"/>
          <w:rtl/>
          <w:lang w:bidi="ar-IQ"/>
        </w:rPr>
        <w:t>من</w:t>
      </w:r>
      <w:r w:rsidRPr="0085705F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85705F">
        <w:rPr>
          <w:rFonts w:ascii="Arial" w:hAnsi="Arial" w:cs="Arial" w:hint="cs"/>
          <w:b/>
          <w:bCs/>
          <w:sz w:val="32"/>
          <w:szCs w:val="32"/>
          <w:rtl/>
          <w:lang w:bidi="ar-IQ"/>
        </w:rPr>
        <w:t>م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ُ</w:t>
      </w:r>
      <w:r w:rsidRPr="0085705F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لحقات</w:t>
      </w:r>
      <w:r w:rsidRPr="0085705F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85705F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الموازنة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تصدت كثير من الدول لموضوع مُلحقات الموازنة ، لكن الدول المذكورة تباينت في نوع الأداة القانونية التي استخدمتها في معالجة المُلحقات ، فالبعض</w:t>
      </w:r>
      <w:r w:rsidRPr="00A63C5B">
        <w:rPr>
          <w:rFonts w:ascii="Arial" w:hAnsi="Arial" w:cs="Arial" w:hint="cs"/>
          <w:sz w:val="28"/>
          <w:szCs w:val="28"/>
          <w:rtl/>
          <w:lang w:bidi="ar-IQ"/>
        </w:rPr>
        <w:t xml:space="preserve"> فضل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أن يتصدى لها في الدستور ، ودول أخرى اختارت معالجة الظاهرة المذكورة في قوانينها . وسنقف على ذينك الإتجاهين في الفرعين التاليين :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الفرع الأول : المُعالجة الدستورية لمُلحقات الموازنة 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الفرع الثاني : المُعالجة القانونية لمُلحقات الموازنة .</w:t>
      </w:r>
    </w:p>
    <w:p w:rsidR="00ED2866" w:rsidRPr="007D65BD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7D65B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الفرع الأول</w:t>
      </w:r>
    </w:p>
    <w:p w:rsidR="00ED2866" w:rsidRDefault="00ED2866" w:rsidP="00ED2866">
      <w:pPr>
        <w:bidi/>
        <w:ind w:firstLine="4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7D65BD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المعالجة الدستورية لم</w:t>
      </w: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ُ</w:t>
      </w:r>
      <w:r w:rsidRPr="007D65BD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لحقات الموازنة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تباينت المعالجات الدستورية لظاهرة مُلحقات الموازنة ، فثمت دساتير وسعت من نطاق حظر المُلحقات ، ودساتير أخرى ضيقت من النطاق المذكور ، ودساتير وقفت موقفا وسطا بين الإتجاهين السابقين . وحسبنا الآن الوقوف على هذه الإتجاهات الدستورية .</w:t>
      </w:r>
    </w:p>
    <w:p w:rsidR="00ED2866" w:rsidRPr="00726A29" w:rsidRDefault="00ED2866" w:rsidP="00ED2866">
      <w:pPr>
        <w:bidi/>
        <w:ind w:firstLine="571"/>
        <w:jc w:val="mediumKashida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26A2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أولا : الدساتير التي وسعت من نطاق حظر الم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ُ</w:t>
      </w:r>
      <w:r w:rsidRPr="00726A29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لحقات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أتخذت بعض الدساتير موقفا صارما من ملحقات الموازنة فوسعت من نطاق حظرها . ومن الأمثلة على تلكم الدساتير : الدستور الكويتي النافذ الذي منع من أن يلحق بقانون الموازنة  ( أي نص من شأنه إنشاء ضريبة جديدة ، أو زيادة في ضريبة موجودة ، أو تعديل قانون قائم أو تفادي إصدار قانون خاص في أمر نص هذا الدستور على وجوب صدور قانون في شأنه )</w:t>
      </w:r>
      <w:r w:rsidRPr="002E2CF4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(</w:t>
      </w:r>
      <w:r w:rsidRPr="002E2CF4">
        <w:rPr>
          <w:rStyle w:val="FootnoteReference"/>
          <w:rFonts w:ascii="Arial" w:hAnsi="Arial" w:cs="Arial"/>
          <w:sz w:val="28"/>
          <w:szCs w:val="28"/>
          <w:rtl/>
          <w:lang w:bidi="ar-IQ"/>
        </w:rPr>
        <w:footnoteReference w:id="3"/>
      </w:r>
      <w:r w:rsidRPr="002E2CF4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Arial" w:hAnsi="Arial" w:cs="Arial" w:hint="cs"/>
          <w:sz w:val="28"/>
          <w:szCs w:val="28"/>
          <w:rtl/>
          <w:lang w:bidi="ar-IQ"/>
        </w:rPr>
        <w:t>. وبالمثل ايضا ذهب الدستور البحريني النافذ الذي ورد في تضاعيفه نص مشابه للنص المتقدم الوارد في الدستور الكويتي النافذ</w:t>
      </w:r>
      <w:r w:rsidRPr="007332FB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(</w:t>
      </w:r>
      <w:r w:rsidRPr="007332FB">
        <w:rPr>
          <w:rStyle w:val="FootnoteReference"/>
          <w:rFonts w:ascii="Arial" w:hAnsi="Arial" w:cs="Arial"/>
          <w:sz w:val="28"/>
          <w:szCs w:val="28"/>
          <w:rtl/>
          <w:lang w:bidi="ar-IQ"/>
        </w:rPr>
        <w:footnoteReference w:id="4"/>
      </w:r>
      <w:r w:rsidRPr="007332FB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</w:p>
    <w:p w:rsidR="00ED2866" w:rsidRPr="00726A29" w:rsidRDefault="00ED2866" w:rsidP="00ED2866">
      <w:pPr>
        <w:bidi/>
        <w:ind w:firstLine="571"/>
        <w:jc w:val="mediumKashida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26A2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ثانيا : الدساتير التي ضيقت من نطاق حظر الم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ُ</w:t>
      </w:r>
      <w:r w:rsidRPr="00726A29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لحقات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lastRenderedPageBreak/>
        <w:t>لم تتشدد بعض الدساتير في منع مُلحقات الموازنة بل سلكت مسلكا مرنا عندما منعت إلحاق أحكام بعينها بالموازنة . فالدستور الأردني على سبيل المثل منع تقديم أي إقتراح أثناء مناقشة الموازنة يتضمن إلغاء ضريبة موجودة ، أو فرض ضريبة جديدة ، أو تعديل ضريبة مقررة قانونا زيادة أو نقصان</w:t>
      </w:r>
      <w:r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(</w:t>
      </w:r>
      <w:r w:rsidRPr="000D6BF7">
        <w:rPr>
          <w:rStyle w:val="FootnoteReference"/>
          <w:rFonts w:ascii="Arial" w:hAnsi="Arial" w:cs="Arial"/>
          <w:sz w:val="28"/>
          <w:szCs w:val="28"/>
          <w:rtl/>
          <w:lang w:bidi="ar-IQ"/>
        </w:rPr>
        <w:footnoteReference w:id="5"/>
      </w:r>
      <w:r w:rsidRPr="000D6BF7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).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إن المنع المذكور ، كما هو واضح ، مقصور على نوع واحد من المُلحقات هو المُلحقات الضريبية دون سواها من الملحقات الأخرى .</w:t>
      </w:r>
    </w:p>
    <w:p w:rsidR="00ED2866" w:rsidRPr="00726A29" w:rsidRDefault="00ED2866" w:rsidP="00ED2866">
      <w:pPr>
        <w:bidi/>
        <w:ind w:firstLine="571"/>
        <w:jc w:val="mediumKashida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26A2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ثالثا : الدساتير التي إتخذت موقفا وسطا من الم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ُ</w:t>
      </w:r>
      <w:r w:rsidRPr="00726A29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لحقات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أتخذت بعض الدساتير موقفا وسطا من المُلحقات ، فلم ترفضها رفضا كاملا ولم تُجزها بصورة مطلقة دون قيود . ومن الأمثلة التي تذكر هنا موقف المشرع الدستوري المصري الذي أجاز في الدستور النافذ لسنة 2014 بأن تلحق بقانون الموازنة نصوصا تعدل في قانون قائم بعد توافر الشروط التالية :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1 - إن يستهدف التعديل إيجاد موارد مالية تحقق التوازن بين كفتي الإيرادات والنفقات العامة .  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2 </w:t>
      </w:r>
      <w:r>
        <w:rPr>
          <w:rFonts w:ascii="Arial" w:hAnsi="Arial" w:cs="Arial"/>
          <w:sz w:val="28"/>
          <w:szCs w:val="28"/>
          <w:rtl/>
          <w:lang w:bidi="ar-IQ"/>
        </w:rPr>
        <w:t>–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إن الزيادة في الموارد المالية ينبغي أن تكون بالقدر اللازم لتحقيق التوازن المذكور 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3 </w:t>
      </w:r>
      <w:r>
        <w:rPr>
          <w:rFonts w:ascii="Arial" w:hAnsi="Arial" w:cs="Arial"/>
          <w:sz w:val="28"/>
          <w:szCs w:val="28"/>
          <w:rtl/>
          <w:lang w:bidi="ar-IQ"/>
        </w:rPr>
        <w:t>–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أن تتفق الحكومة مع مجلس النواب على الزيادة .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4 </w:t>
      </w:r>
      <w:r>
        <w:rPr>
          <w:rFonts w:ascii="Arial" w:hAnsi="Arial" w:cs="Arial"/>
          <w:sz w:val="28"/>
          <w:szCs w:val="28"/>
          <w:rtl/>
          <w:lang w:bidi="ar-IQ"/>
        </w:rPr>
        <w:t>–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لا يجوز أن يتضمن قانون الموازنة أي نص من شأنه تحميل المواطنين أعباء مالية جديدة</w:t>
      </w:r>
      <w:r w:rsidRPr="00ED178C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(</w:t>
      </w:r>
      <w:r w:rsidRPr="00ED178C">
        <w:rPr>
          <w:rStyle w:val="FootnoteReference"/>
          <w:rFonts w:ascii="Arial" w:hAnsi="Arial" w:cs="Arial"/>
          <w:sz w:val="28"/>
          <w:szCs w:val="28"/>
          <w:rtl/>
          <w:lang w:bidi="ar-IQ"/>
        </w:rPr>
        <w:footnoteReference w:id="6"/>
      </w:r>
      <w:r w:rsidRPr="00ED178C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. 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والمعلوم هنا أن المواطنين هم الذين يحملون الجنسية المصرية ، ووفقا لمفهوم المخالفة ، فإنه يجوز أن يتضمن قانون الموازنة نصا أو نصوصا من شأنها أن تحمل الأجانب المقيمين على الأراضي المصرية أعباء مالية جديدة .</w:t>
      </w:r>
    </w:p>
    <w:p w:rsidR="00ED2866" w:rsidRPr="00726A29" w:rsidRDefault="00ED2866" w:rsidP="00ED2866">
      <w:pPr>
        <w:bidi/>
        <w:ind w:firstLine="571"/>
        <w:jc w:val="mediumKashida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26A2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رابعا : المفاضلة بين الإتجاهات الدستورية السابقة</w:t>
      </w:r>
    </w:p>
    <w:p w:rsidR="00ED2866" w:rsidRDefault="00ED2866" w:rsidP="00ED2866">
      <w:pPr>
        <w:bidi/>
        <w:ind w:firstLine="571"/>
        <w:jc w:val="mediumKashida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نرى أن موقف الدستورين الكويتي والبحريني اللذان توسعا في منع المُلحقات يبُزّ موقف الدساتير الأخرى ، لأنه كلما تضاءل عدد المُلحقات أمكن للسلطة التشريعية أن تتفرغ لدراسة مشروع الموازنة دراسة دقيقة ومستفيضة بما يضمن إقرار موازنة منضبطة ومتلائمة مع الأوضاع السياسية ولإقتصادية والإجتماعية العامة .</w:t>
      </w:r>
    </w:p>
    <w:p w:rsidR="00D30332" w:rsidRDefault="00782CBE" w:rsidP="00ED2866">
      <w:pPr>
        <w:bidi/>
        <w:rPr>
          <w:lang w:bidi="ar-IQ"/>
        </w:rPr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BE" w:rsidRDefault="00782CBE" w:rsidP="00ED2866">
      <w:pPr>
        <w:spacing w:after="0" w:line="240" w:lineRule="auto"/>
      </w:pPr>
      <w:r>
        <w:separator/>
      </w:r>
    </w:p>
  </w:endnote>
  <w:endnote w:type="continuationSeparator" w:id="0">
    <w:p w:rsidR="00782CBE" w:rsidRDefault="00782CBE" w:rsidP="00ED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BE" w:rsidRDefault="00782CBE" w:rsidP="00ED2866">
      <w:pPr>
        <w:spacing w:after="0" w:line="240" w:lineRule="auto"/>
      </w:pPr>
      <w:r>
        <w:separator/>
      </w:r>
    </w:p>
  </w:footnote>
  <w:footnote w:type="continuationSeparator" w:id="0">
    <w:p w:rsidR="00782CBE" w:rsidRDefault="00782CBE" w:rsidP="00ED2866">
      <w:pPr>
        <w:spacing w:after="0" w:line="240" w:lineRule="auto"/>
      </w:pPr>
      <w:r>
        <w:continuationSeparator/>
      </w:r>
    </w:p>
  </w:footnote>
  <w:footnote w:id="1">
    <w:p w:rsidR="00ED2866" w:rsidRPr="00210A23" w:rsidRDefault="00ED2866" w:rsidP="00ED2866">
      <w:pPr>
        <w:bidi/>
        <w:ind w:left="429" w:hanging="141"/>
        <w:jc w:val="lowKashida"/>
        <w:rPr>
          <w:rFonts w:ascii="Arial" w:hAnsi="Arial" w:cs="Arial"/>
          <w:sz w:val="24"/>
          <w:szCs w:val="24"/>
          <w:rtl/>
          <w:lang w:bidi="ar-IQ"/>
        </w:rPr>
      </w:pPr>
      <w:r w:rsidRPr="00210A23">
        <w:rPr>
          <w:rFonts w:ascii="Arial" w:hAnsi="Arial" w:cs="Arial"/>
          <w:sz w:val="24"/>
          <w:szCs w:val="24"/>
          <w:rtl/>
        </w:rPr>
        <w:t xml:space="preserve">( 1 ) </w:t>
      </w:r>
      <w:r w:rsidRPr="00210A23">
        <w:rPr>
          <w:rFonts w:ascii="Arial" w:hAnsi="Arial" w:cs="Arial"/>
          <w:sz w:val="24"/>
          <w:szCs w:val="24"/>
          <w:rtl/>
          <w:lang w:bidi="ar-IQ"/>
        </w:rPr>
        <w:t>د . طاهر الجنابي ، المصدر السابق ، هامش رقم ( 6 ) ، ص 132 .</w:t>
      </w:r>
      <w:r w:rsidRPr="00210A23">
        <w:rPr>
          <w:rFonts w:ascii="Arial" w:hAnsi="Arial" w:cs="Arial"/>
          <w:sz w:val="24"/>
          <w:szCs w:val="24"/>
          <w:lang w:bidi="ar-IQ"/>
        </w:rPr>
        <w:t xml:space="preserve"> </w:t>
      </w:r>
    </w:p>
    <w:p w:rsidR="00ED2866" w:rsidRDefault="00ED2866" w:rsidP="00ED2866">
      <w:pPr>
        <w:pStyle w:val="FootnoteText"/>
        <w:bidi/>
        <w:rPr>
          <w:rtl/>
          <w:lang w:bidi="ar-IQ"/>
        </w:rPr>
      </w:pPr>
    </w:p>
  </w:footnote>
  <w:footnote w:id="2">
    <w:p w:rsidR="00ED2866" w:rsidRPr="00210A23" w:rsidRDefault="00ED2866" w:rsidP="00ED2866">
      <w:pPr>
        <w:pStyle w:val="FootnoteText"/>
        <w:bidi/>
        <w:rPr>
          <w:rFonts w:ascii="Arial" w:hAnsi="Arial" w:cs="Arial"/>
          <w:sz w:val="24"/>
          <w:szCs w:val="24"/>
          <w:rtl/>
          <w:lang w:bidi="ar-IQ"/>
        </w:rPr>
      </w:pPr>
      <w:r w:rsidRPr="00210A23">
        <w:rPr>
          <w:rFonts w:ascii="Arial" w:hAnsi="Arial" w:cs="Arial"/>
          <w:sz w:val="24"/>
          <w:szCs w:val="24"/>
          <w:rtl/>
        </w:rPr>
        <w:t xml:space="preserve">( 1 ) </w:t>
      </w:r>
      <w:r w:rsidRPr="00210A23">
        <w:rPr>
          <w:rFonts w:ascii="Arial" w:hAnsi="Arial" w:cs="Arial"/>
          <w:sz w:val="24"/>
          <w:szCs w:val="24"/>
          <w:rtl/>
          <w:lang w:bidi="ar-IQ"/>
        </w:rPr>
        <w:t>د . محمد عبدالله العربي ، ميزانية الدولة ، النظريات العامة ، الطبعة الأولى ، بغداد ، مطبعة دار المعرفة ، 1954 ، ص 45 . كذلك عبد اللطيف قطيش ، الموازنة العامة للدولة ، دراسة مقارنة ، الطبعة الأولى ، منشورات الحلبي الحقوقية ، بيروت ، 2005 ، ص 184 .</w:t>
      </w:r>
    </w:p>
  </w:footnote>
  <w:footnote w:id="3">
    <w:p w:rsidR="00ED2866" w:rsidRPr="00210A23" w:rsidRDefault="00ED2866" w:rsidP="00ED2866">
      <w:pPr>
        <w:bidi/>
        <w:jc w:val="lowKashida"/>
        <w:rPr>
          <w:rFonts w:ascii="Arial" w:hAnsi="Arial" w:cs="Arial"/>
          <w:sz w:val="24"/>
          <w:szCs w:val="24"/>
          <w:rtl/>
          <w:lang w:bidi="ar-IQ"/>
        </w:rPr>
      </w:pPr>
      <w:r w:rsidRPr="00210A23">
        <w:rPr>
          <w:rFonts w:ascii="Arial" w:hAnsi="Arial" w:cs="Arial"/>
          <w:sz w:val="24"/>
          <w:szCs w:val="24"/>
          <w:rtl/>
        </w:rPr>
        <w:t xml:space="preserve">( 1 ) </w:t>
      </w:r>
      <w:r w:rsidRPr="00210A23">
        <w:rPr>
          <w:rFonts w:ascii="Arial" w:hAnsi="Arial" w:cs="Arial"/>
          <w:sz w:val="24"/>
          <w:szCs w:val="24"/>
          <w:rtl/>
          <w:lang w:bidi="ar-IQ"/>
        </w:rPr>
        <w:t>تنظر المادة ( 134 ) من الدستور الكويتي النافذ لسنة 1962 .</w:t>
      </w:r>
    </w:p>
  </w:footnote>
  <w:footnote w:id="4">
    <w:p w:rsidR="00ED2866" w:rsidRPr="00210A23" w:rsidRDefault="00ED2866" w:rsidP="00ED2866">
      <w:pPr>
        <w:pStyle w:val="FootnoteText"/>
        <w:bidi/>
        <w:rPr>
          <w:rFonts w:ascii="Arial" w:hAnsi="Arial" w:cs="Arial"/>
          <w:sz w:val="24"/>
          <w:szCs w:val="24"/>
          <w:rtl/>
          <w:lang w:bidi="ar-IQ"/>
        </w:rPr>
      </w:pPr>
      <w:r w:rsidRPr="00210A23">
        <w:rPr>
          <w:rFonts w:ascii="Arial" w:hAnsi="Arial" w:cs="Arial"/>
          <w:sz w:val="24"/>
          <w:szCs w:val="24"/>
          <w:rtl/>
        </w:rPr>
        <w:t>( 2 ) تنظر المادة ( 112 ) من الدستور البحريني لسنة 2002 .</w:t>
      </w:r>
    </w:p>
  </w:footnote>
  <w:footnote w:id="5">
    <w:p w:rsidR="00ED2866" w:rsidRDefault="00ED2866" w:rsidP="00ED2866">
      <w:pPr>
        <w:pStyle w:val="FootnoteText"/>
        <w:bidi/>
        <w:rPr>
          <w:rtl/>
          <w:lang w:bidi="ar-IQ"/>
        </w:rPr>
      </w:pPr>
      <w:r w:rsidRPr="00210A23">
        <w:rPr>
          <w:rFonts w:ascii="Arial" w:hAnsi="Arial" w:cs="Arial"/>
          <w:sz w:val="24"/>
          <w:szCs w:val="24"/>
          <w:rtl/>
        </w:rPr>
        <w:t xml:space="preserve">( </w:t>
      </w:r>
      <w:r>
        <w:rPr>
          <w:rFonts w:ascii="Arial" w:hAnsi="Arial" w:cs="Arial" w:hint="cs"/>
          <w:sz w:val="24"/>
          <w:szCs w:val="24"/>
          <w:rtl/>
        </w:rPr>
        <w:t>1</w:t>
      </w:r>
      <w:r w:rsidRPr="00210A23">
        <w:rPr>
          <w:rFonts w:ascii="Arial" w:hAnsi="Arial" w:cs="Arial"/>
          <w:sz w:val="24"/>
          <w:szCs w:val="24"/>
          <w:rtl/>
        </w:rPr>
        <w:t xml:space="preserve"> ) تنظر الفقرة ( 5 ) من المادة ( 112 ) من الدستور الاردني لسنة 1952 .</w:t>
      </w:r>
    </w:p>
  </w:footnote>
  <w:footnote w:id="6">
    <w:p w:rsidR="00ED2866" w:rsidRPr="00210A23" w:rsidRDefault="00ED2866" w:rsidP="00ED2866">
      <w:pPr>
        <w:bidi/>
        <w:jc w:val="lowKashida"/>
        <w:rPr>
          <w:rFonts w:ascii="Arial" w:hAnsi="Arial" w:cs="Arial"/>
          <w:sz w:val="24"/>
          <w:szCs w:val="24"/>
          <w:rtl/>
          <w:lang w:bidi="ar-IQ"/>
        </w:rPr>
      </w:pPr>
      <w:r w:rsidRPr="00210A23">
        <w:rPr>
          <w:rFonts w:ascii="Arial" w:hAnsi="Arial" w:cs="Arial"/>
          <w:sz w:val="24"/>
          <w:szCs w:val="24"/>
          <w:rtl/>
        </w:rPr>
        <w:t xml:space="preserve"> </w:t>
      </w:r>
      <w:r w:rsidRPr="00210A23">
        <w:rPr>
          <w:rFonts w:ascii="Arial" w:hAnsi="Arial" w:cs="Arial"/>
          <w:sz w:val="24"/>
          <w:szCs w:val="24"/>
          <w:rtl/>
        </w:rPr>
        <w:t xml:space="preserve">( </w:t>
      </w:r>
      <w:r>
        <w:rPr>
          <w:rFonts w:ascii="Arial" w:hAnsi="Arial" w:cs="Arial" w:hint="cs"/>
          <w:sz w:val="24"/>
          <w:szCs w:val="24"/>
          <w:rtl/>
        </w:rPr>
        <w:t>2</w:t>
      </w:r>
      <w:r w:rsidRPr="00210A23">
        <w:rPr>
          <w:rFonts w:ascii="Arial" w:hAnsi="Arial" w:cs="Arial"/>
          <w:sz w:val="24"/>
          <w:szCs w:val="24"/>
          <w:rtl/>
        </w:rPr>
        <w:t xml:space="preserve"> )</w:t>
      </w:r>
      <w:r w:rsidRPr="00210A23">
        <w:rPr>
          <w:rFonts w:ascii="Arial" w:hAnsi="Arial" w:cs="Arial"/>
          <w:sz w:val="24"/>
          <w:szCs w:val="24"/>
          <w:rtl/>
          <w:lang w:bidi="ar-IQ"/>
        </w:rPr>
        <w:t xml:space="preserve"> تنظر المادة ( 124 ) من دستور جمهورية مصر العربية لسنة 2014 .</w:t>
      </w:r>
    </w:p>
    <w:p w:rsidR="00ED2866" w:rsidRDefault="00ED2866" w:rsidP="00ED2866">
      <w:pPr>
        <w:pStyle w:val="FootnoteText"/>
        <w:bidi/>
        <w:rPr>
          <w:rtl/>
          <w:lang w:bidi="ar-IQ"/>
        </w:rPr>
      </w:pPr>
      <w:r>
        <w:rPr>
          <w:rFonts w:hint="cs"/>
          <w:rtl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66"/>
    <w:rsid w:val="005F5011"/>
    <w:rsid w:val="00782CBE"/>
    <w:rsid w:val="007C5B79"/>
    <w:rsid w:val="008B1A88"/>
    <w:rsid w:val="00DA2874"/>
    <w:rsid w:val="00E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2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8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8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2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8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4795</Characters>
  <Application>Microsoft Office Word</Application>
  <DocSecurity>0</DocSecurity>
  <Lines>39</Lines>
  <Paragraphs>11</Paragraphs>
  <ScaleCrop>false</ScaleCrop>
  <Company>CtrlSoft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2020-03-23T15:48:00Z</dcterms:created>
  <dcterms:modified xsi:type="dcterms:W3CDTF">2020-03-23T15:49:00Z</dcterms:modified>
</cp:coreProperties>
</file>