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53" w:rsidRDefault="00A72053" w:rsidP="00A72053">
      <w:pPr>
        <w:bidi/>
        <w:ind w:firstLine="4"/>
        <w:jc w:val="center"/>
        <w:rPr>
          <w:rFonts w:ascii="Arial" w:hAnsi="Arial" w:cs="Arial"/>
          <w:b/>
          <w:bCs/>
          <w:sz w:val="32"/>
          <w:szCs w:val="32"/>
          <w:rtl/>
          <w:lang w:bidi="ar-IQ"/>
        </w:rPr>
      </w:pPr>
      <w:r>
        <w:rPr>
          <w:rFonts w:ascii="Arial" w:hAnsi="Arial" w:cs="Arial" w:hint="cs"/>
          <w:b/>
          <w:bCs/>
          <w:sz w:val="32"/>
          <w:szCs w:val="32"/>
          <w:rtl/>
          <w:lang w:bidi="ar-IQ"/>
        </w:rPr>
        <w:t>الفرع الثاني</w:t>
      </w:r>
    </w:p>
    <w:p w:rsidR="00A72053" w:rsidRDefault="00A72053" w:rsidP="00A72053">
      <w:pPr>
        <w:bidi/>
        <w:ind w:firstLine="4"/>
        <w:jc w:val="center"/>
        <w:rPr>
          <w:rFonts w:ascii="Arial" w:hAnsi="Arial" w:cs="Arial"/>
          <w:b/>
          <w:bCs/>
          <w:sz w:val="32"/>
          <w:szCs w:val="32"/>
          <w:rtl/>
          <w:lang w:bidi="ar-IQ"/>
        </w:rPr>
      </w:pPr>
      <w:r>
        <w:rPr>
          <w:rFonts w:ascii="Arial" w:hAnsi="Arial" w:cs="Arial" w:hint="cs"/>
          <w:b/>
          <w:bCs/>
          <w:sz w:val="32"/>
          <w:szCs w:val="32"/>
          <w:rtl/>
          <w:lang w:bidi="ar-IQ"/>
        </w:rPr>
        <w:t>المعالجة القانونية لمُلحقات الموازنة</w:t>
      </w:r>
    </w:p>
    <w:p w:rsidR="00A72053" w:rsidRDefault="00A72053" w:rsidP="00A72053">
      <w:pPr>
        <w:bidi/>
        <w:ind w:firstLine="571"/>
        <w:jc w:val="mediumKashida"/>
        <w:rPr>
          <w:rFonts w:ascii="Arial" w:hAnsi="Arial" w:cs="Arial"/>
          <w:sz w:val="28"/>
          <w:szCs w:val="28"/>
          <w:rtl/>
          <w:lang w:bidi="ar-IQ"/>
        </w:rPr>
      </w:pPr>
      <w:r>
        <w:rPr>
          <w:rFonts w:ascii="Arial" w:hAnsi="Arial" w:cs="Arial" w:hint="cs"/>
          <w:sz w:val="28"/>
          <w:szCs w:val="28"/>
          <w:rtl/>
          <w:lang w:bidi="ar-IQ"/>
        </w:rPr>
        <w:t>اختلفت الدول التي أتخذت القوانين أداة للتصدي لظاهرة مُلحقات الموازنة ، فثمت دول فضلت التصدي للظاهرة المذكورة في القوانين التنظيمية ، ودول أخرى عالجت الظاهرة بواسطة القوانين الإعتيادية . وسوف نقف على الإتجاهين المذكورين في البيان التالي :</w:t>
      </w:r>
    </w:p>
    <w:p w:rsidR="00A72053" w:rsidRPr="00A90DB3" w:rsidRDefault="00A72053" w:rsidP="00A72053">
      <w:pPr>
        <w:bidi/>
        <w:ind w:firstLine="571"/>
        <w:jc w:val="mediumKashida"/>
        <w:rPr>
          <w:rFonts w:ascii="Arial" w:hAnsi="Arial" w:cs="Arial"/>
          <w:b/>
          <w:bCs/>
          <w:sz w:val="28"/>
          <w:szCs w:val="28"/>
          <w:rtl/>
          <w:lang w:bidi="ar-IQ"/>
        </w:rPr>
      </w:pPr>
      <w:r w:rsidRPr="00A90DB3">
        <w:rPr>
          <w:rFonts w:ascii="Arial" w:hAnsi="Arial" w:cs="Arial" w:hint="cs"/>
          <w:b/>
          <w:bCs/>
          <w:sz w:val="28"/>
          <w:szCs w:val="28"/>
          <w:rtl/>
          <w:lang w:bidi="ar-IQ"/>
        </w:rPr>
        <w:t>أولا : تصدي القوانين التنظيمية لظاهرة م</w:t>
      </w:r>
      <w:r>
        <w:rPr>
          <w:rFonts w:ascii="Arial" w:hAnsi="Arial" w:cs="Arial" w:hint="cs"/>
          <w:b/>
          <w:bCs/>
          <w:sz w:val="28"/>
          <w:szCs w:val="28"/>
          <w:rtl/>
          <w:lang w:bidi="ar-IQ"/>
        </w:rPr>
        <w:t>ُ</w:t>
      </w:r>
      <w:r w:rsidRPr="00A90DB3">
        <w:rPr>
          <w:rFonts w:ascii="Arial" w:hAnsi="Arial" w:cs="Arial" w:hint="cs"/>
          <w:b/>
          <w:bCs/>
          <w:sz w:val="28"/>
          <w:szCs w:val="28"/>
          <w:rtl/>
          <w:lang w:bidi="ar-IQ"/>
        </w:rPr>
        <w:t>لحقات الموازنة</w:t>
      </w:r>
    </w:p>
    <w:p w:rsidR="00A72053" w:rsidRDefault="00A72053" w:rsidP="00A72053">
      <w:pPr>
        <w:bidi/>
        <w:ind w:firstLine="571"/>
        <w:jc w:val="mediumKashida"/>
        <w:rPr>
          <w:rFonts w:ascii="Arial" w:hAnsi="Arial" w:cs="Arial"/>
          <w:sz w:val="28"/>
          <w:szCs w:val="28"/>
          <w:rtl/>
          <w:lang w:bidi="ar-IQ"/>
        </w:rPr>
      </w:pPr>
      <w:r>
        <w:rPr>
          <w:rFonts w:ascii="Arial" w:hAnsi="Arial" w:cs="Arial" w:hint="cs"/>
          <w:sz w:val="28"/>
          <w:szCs w:val="28"/>
          <w:rtl/>
          <w:lang w:bidi="ar-IQ"/>
        </w:rPr>
        <w:t>فضّل المشرع في بعض الدول التصدي لظاهرة المُلحقات في قوانين تنظيمية ، فالدستور المغربي على سبيل المثل أحال الى القانون التنظيمي بيان الشروط والإجراءات التي يجب أن يصدرالقانون المالي على أساسها</w:t>
      </w:r>
      <w:r w:rsidRPr="00ED178C">
        <w:rPr>
          <w:rFonts w:ascii="Arial" w:hAnsi="Arial" w:cs="Arial" w:hint="cs"/>
          <w:sz w:val="28"/>
          <w:szCs w:val="28"/>
          <w:vertAlign w:val="superscript"/>
          <w:rtl/>
          <w:lang w:bidi="ar-IQ"/>
        </w:rPr>
        <w:t>(</w:t>
      </w:r>
      <w:r w:rsidRPr="00ED178C">
        <w:rPr>
          <w:rStyle w:val="FootnoteReference"/>
          <w:rFonts w:ascii="Arial" w:hAnsi="Arial" w:cs="Arial"/>
          <w:sz w:val="28"/>
          <w:szCs w:val="28"/>
          <w:rtl/>
          <w:lang w:bidi="ar-IQ"/>
        </w:rPr>
        <w:footnoteReference w:id="1"/>
      </w:r>
      <w:r w:rsidRPr="00ED178C">
        <w:rPr>
          <w:rFonts w:ascii="Arial" w:hAnsi="Arial" w:cs="Arial" w:hint="cs"/>
          <w:sz w:val="28"/>
          <w:szCs w:val="28"/>
          <w:vertAlign w:val="superscript"/>
          <w:rtl/>
          <w:lang w:bidi="ar-IQ"/>
        </w:rPr>
        <w:t>)</w:t>
      </w:r>
      <w:r>
        <w:rPr>
          <w:rFonts w:ascii="Arial" w:hAnsi="Arial" w:cs="Arial" w:hint="cs"/>
          <w:sz w:val="28"/>
          <w:szCs w:val="28"/>
          <w:rtl/>
          <w:lang w:bidi="ar-IQ"/>
        </w:rPr>
        <w:t>.والمعلوم أن القوانين التنظيمية هي قوانين مكملة للوثيقة الدستورية إنطلاقا من أن الوثيقة المذكورة لا تستوعب القواعد التي تتصل بنظام الحكم جميعها ، فمن الجائز أن ترد هذه القواعد في قوانين تنظيمية تسنها السلطة التشريعية</w:t>
      </w:r>
      <w:r w:rsidRPr="003E5442">
        <w:rPr>
          <w:rFonts w:ascii="Arial" w:hAnsi="Arial" w:cs="Arial" w:hint="cs"/>
          <w:sz w:val="28"/>
          <w:szCs w:val="28"/>
          <w:vertAlign w:val="superscript"/>
          <w:rtl/>
          <w:lang w:bidi="ar-IQ"/>
        </w:rPr>
        <w:t>(</w:t>
      </w:r>
      <w:r w:rsidRPr="003E5442">
        <w:rPr>
          <w:rStyle w:val="FootnoteReference"/>
          <w:rFonts w:ascii="Arial" w:hAnsi="Arial" w:cs="Arial"/>
          <w:sz w:val="28"/>
          <w:szCs w:val="28"/>
          <w:rtl/>
          <w:lang w:bidi="ar-IQ"/>
        </w:rPr>
        <w:footnoteReference w:id="2"/>
      </w:r>
      <w:r w:rsidRPr="003E5442">
        <w:rPr>
          <w:rFonts w:ascii="Arial" w:hAnsi="Arial" w:cs="Arial" w:hint="cs"/>
          <w:sz w:val="28"/>
          <w:szCs w:val="28"/>
          <w:vertAlign w:val="superscript"/>
          <w:rtl/>
          <w:lang w:bidi="ar-IQ"/>
        </w:rPr>
        <w:t>)</w:t>
      </w:r>
      <w:r>
        <w:rPr>
          <w:rFonts w:ascii="Arial" w:hAnsi="Arial" w:cs="Arial" w:hint="cs"/>
          <w:sz w:val="28"/>
          <w:szCs w:val="28"/>
          <w:rtl/>
          <w:lang w:bidi="ar-IQ"/>
        </w:rPr>
        <w:t>. وتأخذ القوانين المذكورة مرتبة وسطى بين الوثيقة الدستورية والقوانين العادية عندما يخص الدستور القوانين التنظيمية بنظام إجرائي يختلف عن ذلك المتبع في القوانين الأخرى</w:t>
      </w:r>
      <w:r w:rsidRPr="003E5442">
        <w:rPr>
          <w:rFonts w:ascii="Arial" w:hAnsi="Arial" w:cs="Arial" w:hint="cs"/>
          <w:sz w:val="28"/>
          <w:szCs w:val="28"/>
          <w:vertAlign w:val="superscript"/>
          <w:rtl/>
          <w:lang w:bidi="ar-IQ"/>
        </w:rPr>
        <w:t>(</w:t>
      </w:r>
      <w:r w:rsidRPr="003E5442">
        <w:rPr>
          <w:rStyle w:val="FootnoteReference"/>
          <w:rFonts w:ascii="Arial" w:hAnsi="Arial" w:cs="Arial"/>
          <w:sz w:val="28"/>
          <w:szCs w:val="28"/>
          <w:rtl/>
          <w:lang w:bidi="ar-IQ"/>
        </w:rPr>
        <w:footnoteReference w:id="3"/>
      </w:r>
      <w:r w:rsidRPr="003E5442">
        <w:rPr>
          <w:rFonts w:ascii="Arial" w:hAnsi="Arial" w:cs="Arial" w:hint="cs"/>
          <w:sz w:val="28"/>
          <w:szCs w:val="28"/>
          <w:vertAlign w:val="superscript"/>
          <w:rtl/>
          <w:lang w:bidi="ar-IQ"/>
        </w:rPr>
        <w:t>)</w:t>
      </w:r>
      <w:r>
        <w:rPr>
          <w:rFonts w:ascii="Arial" w:hAnsi="Arial" w:cs="Arial" w:hint="cs"/>
          <w:sz w:val="28"/>
          <w:szCs w:val="28"/>
          <w:vertAlign w:val="superscript"/>
          <w:rtl/>
          <w:lang w:bidi="ar-IQ"/>
        </w:rPr>
        <w:t xml:space="preserve"> </w:t>
      </w:r>
      <w:r>
        <w:rPr>
          <w:rFonts w:ascii="Arial" w:hAnsi="Arial" w:cs="Arial" w:hint="cs"/>
          <w:sz w:val="28"/>
          <w:szCs w:val="28"/>
          <w:rtl/>
          <w:lang w:bidi="ar-IQ"/>
        </w:rPr>
        <w:t>.</w:t>
      </w:r>
      <w:r>
        <w:rPr>
          <w:rFonts w:ascii="Arial" w:hAnsi="Arial" w:cs="Arial" w:hint="cs"/>
          <w:sz w:val="28"/>
          <w:szCs w:val="28"/>
          <w:vertAlign w:val="superscript"/>
          <w:rtl/>
          <w:lang w:bidi="ar-IQ"/>
        </w:rPr>
        <w:t xml:space="preserve"> </w:t>
      </w:r>
      <w:r>
        <w:rPr>
          <w:rFonts w:ascii="Arial" w:hAnsi="Arial" w:cs="Arial" w:hint="cs"/>
          <w:sz w:val="28"/>
          <w:szCs w:val="28"/>
          <w:rtl/>
          <w:lang w:bidi="ar-IQ"/>
        </w:rPr>
        <w:t>وقد خص الدستور المغربي النافذ القوانين التنظيمية بنظام إجرائي متميز لا تخضع له القوانين العادية التي تصدر من مجلس النواب . ومن أبرز ملامح هذا النظام هو خضوع القوانين التنظيمية بصورة إجبارية لرقابة المجلس الدستوري للتثبت من مطابقتها للدستور</w:t>
      </w:r>
      <w:r w:rsidRPr="003E5442">
        <w:rPr>
          <w:rFonts w:ascii="Arial" w:hAnsi="Arial" w:cs="Arial" w:hint="cs"/>
          <w:sz w:val="28"/>
          <w:szCs w:val="28"/>
          <w:vertAlign w:val="superscript"/>
          <w:rtl/>
          <w:lang w:bidi="ar-IQ"/>
        </w:rPr>
        <w:t>(</w:t>
      </w:r>
      <w:r w:rsidRPr="003E5442">
        <w:rPr>
          <w:rStyle w:val="FootnoteReference"/>
          <w:rFonts w:ascii="Arial" w:hAnsi="Arial" w:cs="Arial"/>
          <w:sz w:val="28"/>
          <w:szCs w:val="28"/>
          <w:rtl/>
          <w:lang w:bidi="ar-IQ"/>
        </w:rPr>
        <w:footnoteReference w:id="4"/>
      </w:r>
      <w:r w:rsidRPr="003E5442">
        <w:rPr>
          <w:rFonts w:ascii="Arial" w:hAnsi="Arial" w:cs="Arial" w:hint="cs"/>
          <w:sz w:val="28"/>
          <w:szCs w:val="28"/>
          <w:vertAlign w:val="superscript"/>
          <w:rtl/>
          <w:lang w:bidi="ar-IQ"/>
        </w:rPr>
        <w:t>)</w:t>
      </w:r>
      <w:r>
        <w:rPr>
          <w:rFonts w:ascii="Arial" w:hAnsi="Arial" w:cs="Arial" w:hint="cs"/>
          <w:sz w:val="28"/>
          <w:szCs w:val="28"/>
          <w:rtl/>
          <w:lang w:bidi="ar-IQ"/>
        </w:rPr>
        <w:t xml:space="preserve">.  </w:t>
      </w:r>
    </w:p>
    <w:p w:rsidR="00A72053" w:rsidRDefault="00A72053" w:rsidP="00A72053">
      <w:pPr>
        <w:bidi/>
        <w:ind w:firstLine="571"/>
        <w:jc w:val="mediumKashida"/>
        <w:rPr>
          <w:rFonts w:ascii="Arial" w:hAnsi="Arial" w:cs="Arial"/>
          <w:sz w:val="28"/>
          <w:szCs w:val="28"/>
          <w:rtl/>
          <w:lang w:bidi="ar-IQ"/>
        </w:rPr>
      </w:pPr>
      <w:r>
        <w:rPr>
          <w:rFonts w:ascii="Arial" w:hAnsi="Arial" w:cs="Arial" w:hint="cs"/>
          <w:sz w:val="28"/>
          <w:szCs w:val="28"/>
          <w:rtl/>
          <w:lang w:bidi="ar-IQ"/>
        </w:rPr>
        <w:t>وقد صدر القانون التنظيمي المغربي سنة 2015 ، وأصبح نافذ المفعول ابتداء من كانون الثاني 2016</w:t>
      </w:r>
      <w:r w:rsidRPr="0077550A">
        <w:rPr>
          <w:rFonts w:ascii="Arial" w:hAnsi="Arial" w:cs="Arial" w:hint="cs"/>
          <w:sz w:val="28"/>
          <w:szCs w:val="28"/>
          <w:vertAlign w:val="superscript"/>
          <w:rtl/>
          <w:lang w:bidi="ar-IQ"/>
        </w:rPr>
        <w:t>(</w:t>
      </w:r>
      <w:r w:rsidRPr="0077550A">
        <w:rPr>
          <w:rStyle w:val="FootnoteReference"/>
          <w:rFonts w:ascii="Arial" w:hAnsi="Arial" w:cs="Arial"/>
          <w:sz w:val="28"/>
          <w:szCs w:val="28"/>
          <w:rtl/>
          <w:lang w:bidi="ar-IQ"/>
        </w:rPr>
        <w:footnoteReference w:id="5"/>
      </w:r>
      <w:r w:rsidRPr="0077550A">
        <w:rPr>
          <w:rFonts w:ascii="Arial" w:hAnsi="Arial" w:cs="Arial" w:hint="cs"/>
          <w:sz w:val="28"/>
          <w:szCs w:val="28"/>
          <w:vertAlign w:val="superscript"/>
          <w:rtl/>
          <w:lang w:bidi="ar-IQ"/>
        </w:rPr>
        <w:t>)</w:t>
      </w:r>
      <w:r>
        <w:rPr>
          <w:rFonts w:ascii="Arial" w:hAnsi="Arial" w:cs="Arial" w:hint="cs"/>
          <w:sz w:val="28"/>
          <w:szCs w:val="28"/>
          <w:rtl/>
          <w:lang w:bidi="ar-IQ"/>
        </w:rPr>
        <w:t xml:space="preserve">. والنقطة الجديرة بالإعتبار أن القانون المذكور عالج ظاهرة مُلحقات الموازنة عندما نص صراحة بأنه : ( لا يمكن أن تتضمن قوانين المالية إلا أحكاما تتعلق بالموارد </w:t>
      </w:r>
      <w:r>
        <w:rPr>
          <w:rFonts w:ascii="Arial" w:hAnsi="Arial" w:cs="Arial" w:hint="cs"/>
          <w:sz w:val="28"/>
          <w:szCs w:val="28"/>
          <w:rtl/>
          <w:lang w:bidi="ar-IQ"/>
        </w:rPr>
        <w:lastRenderedPageBreak/>
        <w:t>والتكاليف أو تهدف الى تحسين الشروط المتعلقة بتحصيل المداخيل وبمراقبة استعمال الأموال العامة )</w:t>
      </w:r>
      <w:r w:rsidRPr="003E5442">
        <w:rPr>
          <w:rFonts w:ascii="Arial" w:hAnsi="Arial" w:cs="Arial" w:hint="cs"/>
          <w:sz w:val="28"/>
          <w:szCs w:val="28"/>
          <w:vertAlign w:val="superscript"/>
          <w:rtl/>
          <w:lang w:bidi="ar-IQ"/>
        </w:rPr>
        <w:t>(</w:t>
      </w:r>
      <w:r w:rsidRPr="003E5442">
        <w:rPr>
          <w:rStyle w:val="FootnoteReference"/>
          <w:rFonts w:ascii="Arial" w:hAnsi="Arial" w:cs="Arial"/>
          <w:sz w:val="28"/>
          <w:szCs w:val="28"/>
          <w:rtl/>
          <w:lang w:bidi="ar-IQ"/>
        </w:rPr>
        <w:footnoteReference w:id="6"/>
      </w:r>
      <w:r w:rsidRPr="003E5442">
        <w:rPr>
          <w:rFonts w:ascii="Arial" w:hAnsi="Arial" w:cs="Arial" w:hint="cs"/>
          <w:sz w:val="28"/>
          <w:szCs w:val="28"/>
          <w:vertAlign w:val="superscript"/>
          <w:rtl/>
          <w:lang w:bidi="ar-IQ"/>
        </w:rPr>
        <w:t>)</w:t>
      </w:r>
      <w:r>
        <w:rPr>
          <w:rFonts w:ascii="Arial" w:hAnsi="Arial" w:cs="Arial" w:hint="cs"/>
          <w:sz w:val="28"/>
          <w:szCs w:val="28"/>
          <w:rtl/>
          <w:lang w:bidi="ar-IQ"/>
        </w:rPr>
        <w:t>.</w:t>
      </w:r>
    </w:p>
    <w:p w:rsidR="00A72053" w:rsidRDefault="00A72053" w:rsidP="00A72053">
      <w:pPr>
        <w:bidi/>
        <w:ind w:firstLine="571"/>
        <w:jc w:val="mediumKashida"/>
        <w:rPr>
          <w:rFonts w:ascii="Arial" w:hAnsi="Arial" w:cs="Arial"/>
          <w:sz w:val="28"/>
          <w:szCs w:val="28"/>
          <w:rtl/>
          <w:lang w:bidi="ar-IQ"/>
        </w:rPr>
      </w:pPr>
      <w:r>
        <w:rPr>
          <w:rFonts w:ascii="Arial" w:hAnsi="Arial" w:cs="Arial" w:hint="cs"/>
          <w:sz w:val="28"/>
          <w:szCs w:val="28"/>
          <w:rtl/>
          <w:lang w:bidi="ar-IQ"/>
        </w:rPr>
        <w:t>وإذا كان النص المذكور قيد كثيرا من صلاحيات مجلس النواب بإضافة مُلحقات لا مساس لها بأصل الموازنة إلا أن المشرع المغربي</w:t>
      </w:r>
      <w:r w:rsidRPr="0008603F">
        <w:rPr>
          <w:rFonts w:ascii="Arial" w:hAnsi="Arial" w:cs="Arial" w:hint="cs"/>
          <w:sz w:val="28"/>
          <w:szCs w:val="28"/>
          <w:rtl/>
          <w:lang w:bidi="ar-IQ"/>
        </w:rPr>
        <w:t xml:space="preserve"> فَسر</w:t>
      </w:r>
      <w:r>
        <w:rPr>
          <w:rFonts w:ascii="Arial" w:hAnsi="Arial" w:cs="Arial" w:hint="cs"/>
          <w:sz w:val="28"/>
          <w:szCs w:val="28"/>
          <w:rtl/>
          <w:lang w:bidi="ar-IQ"/>
        </w:rPr>
        <w:t xml:space="preserve"> عبارة ( تحسين الشروط المتعلقة بتحصيل المداخيل ) تفسيرا واسعا عندما سمح أن يتضمن القانون المالي المغربي أحكاما تُنشأ موارد عامةأو تُغيرها أو تُحذفها شريطة أن تنال الأحكام المذكورة موافقة الحكومة</w:t>
      </w:r>
      <w:r w:rsidRPr="00BD45D4">
        <w:rPr>
          <w:rFonts w:ascii="Arial" w:hAnsi="Arial" w:cs="Arial" w:hint="cs"/>
          <w:sz w:val="28"/>
          <w:szCs w:val="28"/>
          <w:vertAlign w:val="superscript"/>
          <w:rtl/>
          <w:lang w:bidi="ar-IQ"/>
        </w:rPr>
        <w:t>(</w:t>
      </w:r>
      <w:r w:rsidRPr="00BD45D4">
        <w:rPr>
          <w:rStyle w:val="FootnoteReference"/>
          <w:rFonts w:ascii="Arial" w:hAnsi="Arial" w:cs="Arial"/>
          <w:sz w:val="28"/>
          <w:szCs w:val="28"/>
          <w:rtl/>
          <w:lang w:bidi="ar-IQ"/>
        </w:rPr>
        <w:footnoteReference w:id="7"/>
      </w:r>
      <w:r w:rsidRPr="00BD45D4">
        <w:rPr>
          <w:rFonts w:ascii="Arial" w:hAnsi="Arial" w:cs="Arial" w:hint="cs"/>
          <w:sz w:val="28"/>
          <w:szCs w:val="28"/>
          <w:vertAlign w:val="superscript"/>
          <w:rtl/>
          <w:lang w:bidi="ar-IQ"/>
        </w:rPr>
        <w:t>)</w:t>
      </w:r>
      <w:r>
        <w:rPr>
          <w:rFonts w:ascii="Arial" w:hAnsi="Arial" w:cs="Arial" w:hint="cs"/>
          <w:sz w:val="28"/>
          <w:szCs w:val="28"/>
          <w:rtl/>
          <w:lang w:bidi="ar-IQ"/>
        </w:rPr>
        <w:t>.</w:t>
      </w:r>
    </w:p>
    <w:p w:rsidR="00A72053" w:rsidRDefault="00A72053" w:rsidP="00A72053">
      <w:pPr>
        <w:bidi/>
        <w:ind w:firstLine="571"/>
        <w:jc w:val="mediumKashida"/>
        <w:rPr>
          <w:rFonts w:ascii="Arial" w:hAnsi="Arial" w:cs="Arial"/>
          <w:sz w:val="28"/>
          <w:szCs w:val="28"/>
          <w:rtl/>
          <w:lang w:bidi="ar-IQ"/>
        </w:rPr>
      </w:pPr>
      <w:r w:rsidRPr="00A90DB3">
        <w:rPr>
          <w:rFonts w:ascii="Arial" w:hAnsi="Arial" w:cs="Arial" w:hint="cs"/>
          <w:b/>
          <w:bCs/>
          <w:sz w:val="28"/>
          <w:szCs w:val="28"/>
          <w:rtl/>
          <w:lang w:bidi="ar-IQ"/>
        </w:rPr>
        <w:t>ثانيا : تصدي القوانين الإعتيادية لظاهرة م</w:t>
      </w:r>
      <w:r>
        <w:rPr>
          <w:rFonts w:ascii="Arial" w:hAnsi="Arial" w:cs="Arial" w:hint="cs"/>
          <w:b/>
          <w:bCs/>
          <w:sz w:val="28"/>
          <w:szCs w:val="28"/>
          <w:rtl/>
          <w:lang w:bidi="ar-IQ"/>
        </w:rPr>
        <w:t>ُ</w:t>
      </w:r>
      <w:r w:rsidRPr="00A90DB3">
        <w:rPr>
          <w:rFonts w:ascii="Arial" w:hAnsi="Arial" w:cs="Arial" w:hint="cs"/>
          <w:b/>
          <w:bCs/>
          <w:sz w:val="28"/>
          <w:szCs w:val="28"/>
          <w:rtl/>
          <w:lang w:bidi="ar-IQ"/>
        </w:rPr>
        <w:t>لحقات الموازنة</w:t>
      </w:r>
    </w:p>
    <w:p w:rsidR="00A72053" w:rsidRDefault="00A72053" w:rsidP="00A72053">
      <w:pPr>
        <w:bidi/>
        <w:ind w:firstLine="571"/>
        <w:jc w:val="mediumKashida"/>
        <w:rPr>
          <w:rFonts w:ascii="Arial" w:hAnsi="Arial" w:cs="Arial"/>
          <w:sz w:val="28"/>
          <w:szCs w:val="28"/>
          <w:rtl/>
          <w:lang w:bidi="ar-IQ"/>
        </w:rPr>
      </w:pPr>
      <w:r>
        <w:rPr>
          <w:rFonts w:ascii="Arial" w:hAnsi="Arial" w:cs="Arial" w:hint="cs"/>
          <w:sz w:val="28"/>
          <w:szCs w:val="28"/>
          <w:rtl/>
          <w:lang w:bidi="ar-IQ"/>
        </w:rPr>
        <w:t>يلاحظ في بعض الدول مثل لبنان أن دستورها النافذ لسنة 1926 إلتزم الصمت ولم يتخذ موقفا صريحا من مُلحقات الموازنة بيد أن المشرع العادي أعلن صراحة في قانون المحاسبة العمومية أن قانون الموازنة هو النص المتضمن إقرار السلطة التشريعية لمشروع الموازنة ، وأن هذا القانون يحتوي على أحكام اساسية تتضمن تقدير النفقات والواردات وإجازة الجباية وفتح الإعتمادات ، وعلى أحكام خاصة تقتصر على ما له علاقة مباشرة بتنفيذ القوانين</w:t>
      </w:r>
      <w:r w:rsidRPr="00BD45D4">
        <w:rPr>
          <w:rFonts w:ascii="Arial" w:hAnsi="Arial" w:cs="Arial" w:hint="cs"/>
          <w:sz w:val="28"/>
          <w:szCs w:val="28"/>
          <w:vertAlign w:val="superscript"/>
          <w:rtl/>
          <w:lang w:bidi="ar-IQ"/>
        </w:rPr>
        <w:t>(</w:t>
      </w:r>
      <w:r>
        <w:rPr>
          <w:rStyle w:val="FootnoteReference"/>
          <w:rFonts w:ascii="Arial" w:hAnsi="Arial" w:cs="Arial"/>
          <w:sz w:val="28"/>
          <w:szCs w:val="28"/>
          <w:rtl/>
          <w:lang w:bidi="ar-IQ"/>
        </w:rPr>
        <w:footnoteReference w:id="8"/>
      </w:r>
      <w:r w:rsidRPr="00EA11D2">
        <w:rPr>
          <w:rFonts w:ascii="Arial" w:hAnsi="Arial" w:cs="Arial" w:hint="cs"/>
          <w:sz w:val="28"/>
          <w:szCs w:val="28"/>
          <w:vertAlign w:val="superscript"/>
          <w:rtl/>
          <w:lang w:bidi="ar-IQ"/>
        </w:rPr>
        <w:t xml:space="preserve"> </w:t>
      </w:r>
      <w:r>
        <w:rPr>
          <w:rFonts w:ascii="Arial" w:hAnsi="Arial" w:cs="Arial" w:hint="cs"/>
          <w:sz w:val="28"/>
          <w:szCs w:val="28"/>
          <w:vertAlign w:val="superscript"/>
          <w:rtl/>
          <w:lang w:bidi="ar-IQ"/>
        </w:rPr>
        <w:t>)</w:t>
      </w:r>
      <w:r>
        <w:rPr>
          <w:rFonts w:ascii="Arial" w:hAnsi="Arial" w:cs="Arial" w:hint="cs"/>
          <w:sz w:val="28"/>
          <w:szCs w:val="28"/>
          <w:rtl/>
          <w:lang w:bidi="ar-IQ"/>
        </w:rPr>
        <w:t>.</w:t>
      </w:r>
      <w:r w:rsidRPr="00A90DB3">
        <w:rPr>
          <w:rFonts w:ascii="Arial" w:hAnsi="Arial" w:cs="Arial" w:hint="cs"/>
          <w:sz w:val="28"/>
          <w:szCs w:val="28"/>
          <w:rtl/>
          <w:lang w:bidi="ar-IQ"/>
        </w:rPr>
        <w:t xml:space="preserve"> </w:t>
      </w:r>
      <w:r>
        <w:rPr>
          <w:rFonts w:ascii="Arial" w:hAnsi="Arial" w:cs="Arial" w:hint="cs"/>
          <w:sz w:val="28"/>
          <w:szCs w:val="28"/>
          <w:rtl/>
          <w:lang w:bidi="ar-IQ"/>
        </w:rPr>
        <w:t>وبهذا النص لم يعد جائزا إحتواء قانون الموازنة على أحكام غريبة عنها أو بعيدة عن جوهرها .</w:t>
      </w:r>
    </w:p>
    <w:p w:rsidR="00A72053" w:rsidRDefault="00A72053" w:rsidP="00A72053">
      <w:pPr>
        <w:bidi/>
        <w:ind w:firstLine="571"/>
        <w:jc w:val="mediumKashida"/>
        <w:rPr>
          <w:rFonts w:ascii="Arial" w:hAnsi="Arial" w:cs="Arial"/>
          <w:sz w:val="28"/>
          <w:szCs w:val="28"/>
          <w:rtl/>
          <w:lang w:bidi="ar-IQ"/>
        </w:rPr>
      </w:pPr>
      <w:r>
        <w:rPr>
          <w:rFonts w:ascii="Arial" w:hAnsi="Arial" w:cs="Arial" w:hint="cs"/>
          <w:sz w:val="28"/>
          <w:szCs w:val="28"/>
          <w:rtl/>
          <w:lang w:bidi="ar-IQ"/>
        </w:rPr>
        <w:t xml:space="preserve"> خلاصة ما تقدم أن الدول اختلفت فيما بينها حول الأداة القانونية المستخدمة للتصدي لظاهرة مُلحقات الموازنة ، وإذا أردنا المفاضلة بين الإتجاهات السابقة لرجحنا الإتجاه الذي يعهد بهذه المهمة إلى الدستور؛ لأن النص الدستوري إذا كان جامدا ، وهو الإتجاه الغالب في معظم دول العالم ، يعجز المشرع العادي أن يطاله بالتعديل أو الإلغاء خلافا للنص الوارد في القانون التنظيمي أو القانون الإعتيادي إذ يستطيع المشرع المذكور أن يتناوله تعديلا وإلغاء مما يُفقد منع الملحقات أهميته . </w:t>
      </w:r>
    </w:p>
    <w:p w:rsidR="00A72053" w:rsidRDefault="00A72053" w:rsidP="00A72053">
      <w:pPr>
        <w:bidi/>
        <w:ind w:firstLine="571"/>
        <w:jc w:val="mediumKashida"/>
        <w:rPr>
          <w:rFonts w:ascii="Arial" w:hAnsi="Arial" w:cs="Arial"/>
          <w:sz w:val="28"/>
          <w:szCs w:val="28"/>
          <w:rtl/>
          <w:lang w:bidi="ar-IQ"/>
        </w:rPr>
      </w:pPr>
    </w:p>
    <w:p w:rsidR="00A72053" w:rsidRDefault="00A72053" w:rsidP="00A72053">
      <w:pPr>
        <w:bidi/>
        <w:jc w:val="mediumKashida"/>
        <w:rPr>
          <w:rFonts w:ascii="Arial" w:hAnsi="Arial" w:cs="Arial"/>
          <w:sz w:val="28"/>
          <w:szCs w:val="28"/>
          <w:rtl/>
          <w:lang w:bidi="ar-IQ"/>
        </w:rPr>
      </w:pPr>
    </w:p>
    <w:p w:rsidR="00A72053" w:rsidRDefault="00A72053" w:rsidP="00A72053">
      <w:pPr>
        <w:bidi/>
        <w:ind w:firstLine="4"/>
        <w:jc w:val="center"/>
        <w:rPr>
          <w:rFonts w:ascii="Arial" w:hAnsi="Arial" w:cs="Arial"/>
          <w:b/>
          <w:bCs/>
          <w:sz w:val="32"/>
          <w:szCs w:val="32"/>
          <w:rtl/>
          <w:lang w:bidi="ar-IQ"/>
        </w:rPr>
      </w:pPr>
      <w:r>
        <w:rPr>
          <w:rFonts w:ascii="Arial" w:hAnsi="Arial" w:cs="Arial" w:hint="cs"/>
          <w:b/>
          <w:bCs/>
          <w:sz w:val="32"/>
          <w:szCs w:val="32"/>
          <w:rtl/>
          <w:lang w:bidi="ar-IQ"/>
        </w:rPr>
        <w:t>المطلب الثاني</w:t>
      </w:r>
    </w:p>
    <w:p w:rsidR="00A72053" w:rsidRDefault="00A72053" w:rsidP="00A72053">
      <w:pPr>
        <w:bidi/>
        <w:ind w:firstLine="4"/>
        <w:jc w:val="center"/>
        <w:rPr>
          <w:rFonts w:ascii="Arial" w:hAnsi="Arial" w:cs="Arial"/>
          <w:b/>
          <w:bCs/>
          <w:sz w:val="32"/>
          <w:szCs w:val="32"/>
          <w:rtl/>
          <w:lang w:bidi="ar-IQ"/>
        </w:rPr>
      </w:pPr>
      <w:r>
        <w:rPr>
          <w:rFonts w:ascii="Arial" w:hAnsi="Arial" w:cs="Arial" w:hint="cs"/>
          <w:b/>
          <w:bCs/>
          <w:sz w:val="32"/>
          <w:szCs w:val="32"/>
          <w:rtl/>
          <w:lang w:bidi="ar-IQ"/>
        </w:rPr>
        <w:t>الموقفان الفقهي والقضائي من مُلحقات الموازنة</w:t>
      </w:r>
    </w:p>
    <w:p w:rsidR="00A72053" w:rsidRDefault="00A72053" w:rsidP="00A72053">
      <w:pPr>
        <w:bidi/>
        <w:ind w:firstLine="571"/>
        <w:jc w:val="mediumKashida"/>
        <w:rPr>
          <w:rFonts w:ascii="Arial" w:hAnsi="Arial" w:cs="Arial"/>
          <w:sz w:val="28"/>
          <w:szCs w:val="28"/>
          <w:rtl/>
          <w:lang w:bidi="ar-IQ"/>
        </w:rPr>
      </w:pPr>
      <w:r>
        <w:rPr>
          <w:rFonts w:ascii="Arial" w:hAnsi="Arial" w:cs="Arial" w:hint="cs"/>
          <w:sz w:val="28"/>
          <w:szCs w:val="28"/>
          <w:rtl/>
          <w:lang w:bidi="ar-IQ"/>
        </w:rPr>
        <w:t>أفصح الفقه المالي عن موقفه إزاء ظاهرة مُلحقات الموازنة كما أبدى القضاء وجهة نظره في الموضوع وحسبنا تناول الموقفين الفقهي والقضائي  في البيان التالي :</w:t>
      </w:r>
    </w:p>
    <w:p w:rsidR="00A72053" w:rsidRDefault="00A72053" w:rsidP="00A72053">
      <w:pPr>
        <w:bidi/>
        <w:ind w:firstLine="571"/>
        <w:jc w:val="mediumKashida"/>
        <w:rPr>
          <w:rFonts w:ascii="Arial" w:hAnsi="Arial" w:cs="Arial"/>
          <w:sz w:val="28"/>
          <w:szCs w:val="28"/>
          <w:rtl/>
          <w:lang w:bidi="ar-IQ"/>
        </w:rPr>
      </w:pPr>
      <w:r>
        <w:rPr>
          <w:rFonts w:ascii="Arial" w:hAnsi="Arial" w:cs="Arial" w:hint="cs"/>
          <w:sz w:val="28"/>
          <w:szCs w:val="28"/>
          <w:rtl/>
          <w:lang w:bidi="ar-IQ"/>
        </w:rPr>
        <w:lastRenderedPageBreak/>
        <w:t>الفرع الأول : الموقف الفقهي من ظاهرة مُلحقات الموازنة .</w:t>
      </w:r>
    </w:p>
    <w:p w:rsidR="00A72053" w:rsidRDefault="00A72053" w:rsidP="00A72053">
      <w:pPr>
        <w:bidi/>
        <w:ind w:firstLine="571"/>
        <w:jc w:val="mediumKashida"/>
        <w:rPr>
          <w:rFonts w:ascii="Arial" w:hAnsi="Arial" w:cs="Arial"/>
          <w:sz w:val="28"/>
          <w:szCs w:val="28"/>
          <w:rtl/>
          <w:lang w:bidi="ar-IQ"/>
        </w:rPr>
      </w:pPr>
      <w:r>
        <w:rPr>
          <w:rFonts w:ascii="Arial" w:hAnsi="Arial" w:cs="Arial" w:hint="cs"/>
          <w:sz w:val="28"/>
          <w:szCs w:val="28"/>
          <w:rtl/>
          <w:lang w:bidi="ar-IQ"/>
        </w:rPr>
        <w:t>الفرع الثاني : الموقف القضائي من ظاهرة مُلحقات الموازنة .</w:t>
      </w:r>
    </w:p>
    <w:p w:rsidR="00A72053" w:rsidRDefault="00A72053" w:rsidP="00A72053">
      <w:pPr>
        <w:bidi/>
        <w:ind w:firstLine="571"/>
        <w:jc w:val="mediumKashida"/>
        <w:rPr>
          <w:rFonts w:ascii="Arial" w:hAnsi="Arial" w:cs="Arial"/>
          <w:sz w:val="28"/>
          <w:szCs w:val="28"/>
          <w:rtl/>
          <w:lang w:bidi="ar-IQ"/>
        </w:rPr>
      </w:pPr>
    </w:p>
    <w:p w:rsidR="00A72053" w:rsidRDefault="00A72053" w:rsidP="00A72053">
      <w:pPr>
        <w:bidi/>
        <w:ind w:firstLine="4"/>
        <w:jc w:val="center"/>
        <w:rPr>
          <w:rFonts w:ascii="Arial" w:hAnsi="Arial" w:cs="Arial"/>
          <w:b/>
          <w:bCs/>
          <w:sz w:val="32"/>
          <w:szCs w:val="32"/>
          <w:rtl/>
          <w:lang w:bidi="ar-IQ"/>
        </w:rPr>
      </w:pPr>
      <w:r w:rsidRPr="0096395F">
        <w:rPr>
          <w:rFonts w:ascii="Arial" w:hAnsi="Arial" w:cs="Arial" w:hint="cs"/>
          <w:b/>
          <w:bCs/>
          <w:sz w:val="32"/>
          <w:szCs w:val="32"/>
          <w:rtl/>
          <w:lang w:bidi="ar-IQ"/>
        </w:rPr>
        <w:t>الفرع الأول</w:t>
      </w:r>
    </w:p>
    <w:p w:rsidR="00A72053" w:rsidRDefault="00A72053" w:rsidP="00A72053">
      <w:pPr>
        <w:bidi/>
        <w:ind w:firstLine="4"/>
        <w:jc w:val="center"/>
        <w:rPr>
          <w:rFonts w:ascii="Arial" w:hAnsi="Arial" w:cs="Arial"/>
          <w:b/>
          <w:bCs/>
          <w:sz w:val="32"/>
          <w:szCs w:val="32"/>
          <w:rtl/>
          <w:lang w:bidi="ar-IQ"/>
        </w:rPr>
      </w:pPr>
      <w:r>
        <w:rPr>
          <w:rFonts w:ascii="Arial" w:hAnsi="Arial" w:cs="Arial" w:hint="cs"/>
          <w:b/>
          <w:bCs/>
          <w:sz w:val="32"/>
          <w:szCs w:val="32"/>
          <w:rtl/>
          <w:lang w:bidi="ar-IQ"/>
        </w:rPr>
        <w:t>الموقف الفقهي من ظاهرة مُلحقات الموازنة</w:t>
      </w:r>
    </w:p>
    <w:p w:rsidR="00A72053" w:rsidRDefault="00A72053" w:rsidP="00A72053">
      <w:pPr>
        <w:bidi/>
        <w:ind w:firstLine="571"/>
        <w:jc w:val="mediumKashida"/>
        <w:rPr>
          <w:rFonts w:ascii="Arial" w:hAnsi="Arial" w:cs="Arial"/>
          <w:sz w:val="28"/>
          <w:szCs w:val="28"/>
          <w:rtl/>
          <w:lang w:bidi="ar-IQ"/>
        </w:rPr>
      </w:pPr>
      <w:r>
        <w:rPr>
          <w:rFonts w:ascii="Arial" w:hAnsi="Arial" w:cs="Arial" w:hint="cs"/>
          <w:sz w:val="28"/>
          <w:szCs w:val="28"/>
          <w:rtl/>
          <w:lang w:bidi="ar-IQ"/>
        </w:rPr>
        <w:t>حمل الكتاب على مُلحقات الموازنة حملة شعواء ، لكونها وسيلة يمجها الذوق السليم ، وتخلو من مقتضيات الكياسة ، فالموازنة تنظيم مالي مؤقت يستمر مفعوله لمدة سنة واحدة في الغالب ، فمن الخطل الظاهر أن نقرن بها أحكاما عامة دائمة حتى لو كانت تلكم الأحكام ذات صبغة مالية . كما أن تعدد الملحقات بتعدد الموازنات من شأنه أن يشتت الأحكام ، ويبعثرها على مر السنين والأعوام مما يخلق عنتا لدى الباحثين والمختصين في تتبع الأحكام في مظانها المتعددة ، ثم أن مُلحقات الموازنة تحمل في ثنايا اعدادها واعتمادها خطورة على مالية الدولة ، لأن المُلحقات كثيرا ما تتناول مسائل بالغة الأهمية  ، مثل : فرض أعباء مالية جديدة على المكلفين مما يتطلب أن لا تتقرر إلا بعد تؤدة وترو بعيد ، وهذا غير متحقق ؛ لأن السلطة التشريعية غالبا ما تتناول الملحقات بل الموازنة برمتها بسرعة وعجالة</w:t>
      </w:r>
      <w:r>
        <w:rPr>
          <w:rFonts w:ascii="Arial" w:hAnsi="Arial" w:cs="Arial" w:hint="cs"/>
          <w:sz w:val="28"/>
          <w:szCs w:val="28"/>
          <w:vertAlign w:val="superscript"/>
          <w:rtl/>
          <w:lang w:bidi="ar-IQ"/>
        </w:rPr>
        <w:t xml:space="preserve"> </w:t>
      </w:r>
      <w:r>
        <w:rPr>
          <w:rFonts w:ascii="Arial" w:hAnsi="Arial" w:cs="Arial" w:hint="cs"/>
          <w:sz w:val="28"/>
          <w:szCs w:val="28"/>
          <w:rtl/>
          <w:lang w:bidi="ar-IQ"/>
        </w:rPr>
        <w:t>كيما تتمكن من إقرارها قبل بدء السنة المالية الجديدة ، وهذا من شأنه أن يحمل المكلفين بتلك الأعباء تكاليف مالية غير عادلة</w:t>
      </w:r>
      <w:r w:rsidRPr="00953A7A">
        <w:rPr>
          <w:rFonts w:ascii="Arial" w:hAnsi="Arial" w:cs="Arial" w:hint="cs"/>
          <w:sz w:val="28"/>
          <w:szCs w:val="28"/>
          <w:vertAlign w:val="superscript"/>
          <w:rtl/>
          <w:lang w:bidi="ar-IQ"/>
        </w:rPr>
        <w:t>(</w:t>
      </w:r>
      <w:r w:rsidRPr="00953A7A">
        <w:rPr>
          <w:rStyle w:val="FootnoteReference"/>
          <w:rFonts w:ascii="Arial" w:hAnsi="Arial" w:cs="Arial"/>
          <w:sz w:val="28"/>
          <w:szCs w:val="28"/>
          <w:rtl/>
          <w:lang w:bidi="ar-IQ"/>
        </w:rPr>
        <w:footnoteReference w:id="9"/>
      </w:r>
      <w:r w:rsidRPr="00953A7A">
        <w:rPr>
          <w:rFonts w:ascii="Arial" w:hAnsi="Arial" w:cs="Arial" w:hint="cs"/>
          <w:sz w:val="28"/>
          <w:szCs w:val="28"/>
          <w:vertAlign w:val="superscript"/>
          <w:rtl/>
          <w:lang w:bidi="ar-IQ"/>
        </w:rPr>
        <w:t>)</w:t>
      </w:r>
      <w:r w:rsidRPr="00953A7A">
        <w:rPr>
          <w:rFonts w:ascii="Arial" w:hAnsi="Arial" w:cs="Arial" w:hint="cs"/>
          <w:sz w:val="28"/>
          <w:szCs w:val="28"/>
          <w:rtl/>
          <w:lang w:bidi="ar-IQ"/>
        </w:rPr>
        <w:t>.</w:t>
      </w:r>
      <w:r w:rsidRPr="00A63E6D">
        <w:rPr>
          <w:rFonts w:ascii="Arial" w:hAnsi="Arial" w:cs="Arial" w:hint="cs"/>
          <w:sz w:val="28"/>
          <w:szCs w:val="28"/>
          <w:rtl/>
          <w:lang w:bidi="ar-IQ"/>
        </w:rPr>
        <w:t xml:space="preserve">  </w:t>
      </w:r>
    </w:p>
    <w:p w:rsidR="00A72053" w:rsidRDefault="00A72053" w:rsidP="00A72053">
      <w:pPr>
        <w:bidi/>
        <w:ind w:firstLine="571"/>
        <w:jc w:val="mediumKashida"/>
        <w:rPr>
          <w:rFonts w:ascii="Arial" w:hAnsi="Arial" w:cs="Arial"/>
          <w:sz w:val="28"/>
          <w:szCs w:val="28"/>
          <w:rtl/>
          <w:lang w:bidi="ar-IQ"/>
        </w:rPr>
      </w:pPr>
      <w:r>
        <w:rPr>
          <w:rFonts w:ascii="Arial" w:hAnsi="Arial" w:cs="Arial" w:hint="cs"/>
          <w:sz w:val="28"/>
          <w:szCs w:val="28"/>
          <w:rtl/>
          <w:lang w:bidi="ar-IQ"/>
        </w:rPr>
        <w:t>ونضيف إلى ما تقدم إن إلحاق نصوص إلى الموازنة العامة لا تمت إليها بصلة مباشرة ينطوي على مساس باستقلال القانون الموازني الذي يعد فرعا من فروع القانون المالي إلى جانب فروع أخرى تنبثق من القانون المذكور مثل القانون الضريبي فمثلما لا يُستساغ أن نلحق بالقانون الأخير نصوصا تتضمن تقديرا للنفقات والايرادات العامة لكون تلك النصوص لا تنتمي إلى القانون الضريبي وتجد مستقرها ومستودعها الطبيعي في القانون الموازني ، فبالمثل أيضا لا يجوز أن نلحق بالقانون الأخير نصوصا ضريبية ، لأن وجودها ينال من استقلال القانون الموازني ، وينتقص من ذاتيته المستقلة .</w:t>
      </w:r>
    </w:p>
    <w:p w:rsidR="00A72053" w:rsidRPr="0096395F" w:rsidRDefault="00A72053" w:rsidP="00A72053">
      <w:pPr>
        <w:bidi/>
        <w:ind w:firstLine="571"/>
        <w:jc w:val="mediumKashida"/>
        <w:rPr>
          <w:rFonts w:ascii="Arial" w:hAnsi="Arial" w:cs="Arial"/>
          <w:sz w:val="28"/>
          <w:szCs w:val="28"/>
          <w:rtl/>
          <w:lang w:bidi="ar-IQ"/>
        </w:rPr>
      </w:pPr>
    </w:p>
    <w:p w:rsidR="00A72053" w:rsidRDefault="00A72053" w:rsidP="00A72053">
      <w:pPr>
        <w:bidi/>
        <w:ind w:firstLine="4"/>
        <w:jc w:val="center"/>
        <w:rPr>
          <w:rFonts w:ascii="Arial" w:hAnsi="Arial" w:cs="Arial"/>
          <w:b/>
          <w:bCs/>
          <w:sz w:val="32"/>
          <w:szCs w:val="32"/>
          <w:rtl/>
          <w:lang w:bidi="ar-IQ"/>
        </w:rPr>
      </w:pPr>
      <w:r>
        <w:rPr>
          <w:rFonts w:ascii="Arial" w:hAnsi="Arial" w:cs="Arial" w:hint="cs"/>
          <w:b/>
          <w:bCs/>
          <w:sz w:val="32"/>
          <w:szCs w:val="32"/>
          <w:rtl/>
          <w:lang w:bidi="ar-IQ"/>
        </w:rPr>
        <w:t>الفرع الثاني</w:t>
      </w:r>
    </w:p>
    <w:p w:rsidR="00A72053" w:rsidRDefault="00A72053" w:rsidP="00A72053">
      <w:pPr>
        <w:bidi/>
        <w:ind w:firstLine="4"/>
        <w:jc w:val="center"/>
        <w:rPr>
          <w:rFonts w:ascii="Arial" w:hAnsi="Arial" w:cs="Arial"/>
          <w:b/>
          <w:bCs/>
          <w:sz w:val="32"/>
          <w:szCs w:val="32"/>
          <w:rtl/>
          <w:lang w:bidi="ar-IQ"/>
        </w:rPr>
      </w:pPr>
      <w:r>
        <w:rPr>
          <w:rFonts w:ascii="Arial" w:hAnsi="Arial" w:cs="Arial" w:hint="cs"/>
          <w:b/>
          <w:bCs/>
          <w:sz w:val="32"/>
          <w:szCs w:val="32"/>
          <w:rtl/>
          <w:lang w:bidi="ar-IQ"/>
        </w:rPr>
        <w:lastRenderedPageBreak/>
        <w:t>الموقف القضائي من ظاهرة مُلحقات الموازنة</w:t>
      </w:r>
    </w:p>
    <w:p w:rsidR="00A72053" w:rsidRDefault="00A72053" w:rsidP="00A72053">
      <w:pPr>
        <w:bidi/>
        <w:ind w:firstLine="571"/>
        <w:jc w:val="mediumKashida"/>
        <w:rPr>
          <w:rFonts w:ascii="Arial" w:hAnsi="Arial" w:cs="Arial"/>
          <w:sz w:val="28"/>
          <w:szCs w:val="28"/>
          <w:rtl/>
          <w:lang w:bidi="ar-IQ"/>
        </w:rPr>
      </w:pPr>
      <w:r>
        <w:rPr>
          <w:rFonts w:ascii="Arial" w:hAnsi="Arial" w:cs="Arial" w:hint="cs"/>
          <w:sz w:val="28"/>
          <w:szCs w:val="28"/>
          <w:rtl/>
          <w:lang w:bidi="ar-IQ"/>
        </w:rPr>
        <w:t>نتناول هنا موقف المجلس الدستوري في فرنسا ، وموقف المحكمة الدستورية الكويتية ، وموقف المحكمة الإدارية العليا في مصر من ملحقات الموازنة .</w:t>
      </w:r>
    </w:p>
    <w:p w:rsidR="00A72053" w:rsidRPr="00CE476B" w:rsidRDefault="00A72053" w:rsidP="00A72053">
      <w:pPr>
        <w:bidi/>
        <w:ind w:firstLine="571"/>
        <w:jc w:val="mediumKashida"/>
        <w:rPr>
          <w:rFonts w:ascii="Arial" w:hAnsi="Arial" w:cs="Arial"/>
          <w:b/>
          <w:bCs/>
          <w:sz w:val="28"/>
          <w:szCs w:val="28"/>
          <w:rtl/>
          <w:lang w:bidi="ar-IQ"/>
        </w:rPr>
      </w:pPr>
      <w:r w:rsidRPr="00CE476B">
        <w:rPr>
          <w:rFonts w:ascii="Arial" w:hAnsi="Arial" w:cs="Arial" w:hint="cs"/>
          <w:b/>
          <w:bCs/>
          <w:sz w:val="28"/>
          <w:szCs w:val="28"/>
          <w:rtl/>
          <w:lang w:bidi="ar-IQ"/>
        </w:rPr>
        <w:t>أولا : موقف المجلس الدستوري في فرنسا من م</w:t>
      </w:r>
      <w:r>
        <w:rPr>
          <w:rFonts w:ascii="Arial" w:hAnsi="Arial" w:cs="Arial" w:hint="cs"/>
          <w:b/>
          <w:bCs/>
          <w:sz w:val="28"/>
          <w:szCs w:val="28"/>
          <w:rtl/>
          <w:lang w:bidi="ar-IQ"/>
        </w:rPr>
        <w:t>ُ</w:t>
      </w:r>
      <w:r w:rsidRPr="00CE476B">
        <w:rPr>
          <w:rFonts w:ascii="Arial" w:hAnsi="Arial" w:cs="Arial" w:hint="cs"/>
          <w:b/>
          <w:bCs/>
          <w:sz w:val="28"/>
          <w:szCs w:val="28"/>
          <w:rtl/>
          <w:lang w:bidi="ar-IQ"/>
        </w:rPr>
        <w:t xml:space="preserve">لحقات الموازنة </w:t>
      </w:r>
    </w:p>
    <w:p w:rsidR="00A72053" w:rsidRDefault="00A72053" w:rsidP="00A72053">
      <w:pPr>
        <w:bidi/>
        <w:ind w:firstLine="571"/>
        <w:jc w:val="mediumKashida"/>
        <w:rPr>
          <w:rFonts w:ascii="Arial" w:hAnsi="Arial" w:cs="Arial"/>
          <w:sz w:val="28"/>
          <w:szCs w:val="28"/>
          <w:rtl/>
          <w:lang w:bidi="ar-IQ"/>
        </w:rPr>
      </w:pPr>
      <w:r>
        <w:rPr>
          <w:rFonts w:ascii="Arial" w:hAnsi="Arial" w:cs="Arial" w:hint="cs"/>
          <w:sz w:val="28"/>
          <w:szCs w:val="28"/>
          <w:rtl/>
          <w:lang w:bidi="ar-IQ"/>
        </w:rPr>
        <w:t>حدد الدستور الفرنسي لسنة 1958 الموضوعات التي يجب أن يحتويها قانون الموازنة عندما نص بأن :</w:t>
      </w:r>
    </w:p>
    <w:p w:rsidR="00A72053" w:rsidRDefault="00A72053" w:rsidP="00A72053">
      <w:pPr>
        <w:bidi/>
        <w:ind w:firstLine="571"/>
        <w:jc w:val="mediumKashida"/>
        <w:rPr>
          <w:rFonts w:ascii="Arial" w:hAnsi="Arial" w:cs="Arial"/>
          <w:sz w:val="28"/>
          <w:szCs w:val="28"/>
          <w:rtl/>
          <w:lang w:bidi="ar-IQ"/>
        </w:rPr>
      </w:pPr>
      <w:r>
        <w:rPr>
          <w:rFonts w:ascii="Arial" w:hAnsi="Arial" w:cs="Arial" w:hint="cs"/>
          <w:sz w:val="28"/>
          <w:szCs w:val="28"/>
          <w:rtl/>
          <w:lang w:bidi="ar-IQ"/>
        </w:rPr>
        <w:t xml:space="preserve"> ( تحدد قوانين الموازنة موارد الدولة وأعباءها وفق الشروط ، وفي ظل التحفظات التي يقرها قانون أساسي )</w:t>
      </w:r>
      <w:r w:rsidRPr="00953A7A">
        <w:rPr>
          <w:rFonts w:ascii="Arial" w:hAnsi="Arial" w:cs="Arial" w:hint="cs"/>
          <w:sz w:val="28"/>
          <w:szCs w:val="28"/>
          <w:vertAlign w:val="superscript"/>
          <w:rtl/>
          <w:lang w:bidi="ar-IQ"/>
        </w:rPr>
        <w:t>(</w:t>
      </w:r>
      <w:r w:rsidRPr="00953A7A">
        <w:rPr>
          <w:rStyle w:val="FootnoteReference"/>
          <w:rFonts w:ascii="Arial" w:hAnsi="Arial" w:cs="Arial"/>
          <w:sz w:val="28"/>
          <w:szCs w:val="28"/>
          <w:rtl/>
          <w:lang w:bidi="ar-IQ"/>
        </w:rPr>
        <w:footnoteReference w:id="10"/>
      </w:r>
      <w:r w:rsidRPr="00953A7A">
        <w:rPr>
          <w:rFonts w:ascii="Arial" w:hAnsi="Arial" w:cs="Arial" w:hint="cs"/>
          <w:sz w:val="28"/>
          <w:szCs w:val="28"/>
          <w:vertAlign w:val="superscript"/>
          <w:rtl/>
          <w:lang w:bidi="ar-IQ"/>
        </w:rPr>
        <w:t>)</w:t>
      </w:r>
      <w:r>
        <w:rPr>
          <w:rFonts w:ascii="Arial" w:hAnsi="Arial" w:cs="Arial" w:hint="cs"/>
          <w:sz w:val="28"/>
          <w:szCs w:val="28"/>
          <w:rtl/>
          <w:lang w:bidi="ar-IQ"/>
        </w:rPr>
        <w:t>.</w:t>
      </w:r>
    </w:p>
    <w:p w:rsidR="00A72053" w:rsidRDefault="00A72053" w:rsidP="00A72053">
      <w:pPr>
        <w:bidi/>
        <w:ind w:firstLine="571"/>
        <w:jc w:val="mediumKashida"/>
        <w:rPr>
          <w:rFonts w:ascii="Arial" w:hAnsi="Arial" w:cs="Arial"/>
          <w:sz w:val="28"/>
          <w:szCs w:val="28"/>
          <w:rtl/>
          <w:lang w:bidi="ar-IQ"/>
        </w:rPr>
      </w:pPr>
      <w:r>
        <w:rPr>
          <w:rFonts w:ascii="Arial" w:hAnsi="Arial" w:cs="Arial" w:hint="cs"/>
          <w:sz w:val="28"/>
          <w:szCs w:val="28"/>
          <w:rtl/>
          <w:lang w:bidi="ar-IQ"/>
        </w:rPr>
        <w:t>وانطلاقا من هذا التحديد الدستوري لمضمون قانون الموازنة أكد المجلس الدستوري في قراره الصادر بتاريخ 30 سبتمبر 1979 أن التشريع الذي لا يمتثل لما يتطلبه الدستور والأمر الصادر في 2 يناير 1959 من موضوعات مخصصة للموازنة العامة لا يعد من قوانين الموازنة</w:t>
      </w:r>
      <w:r w:rsidRPr="00C258F6">
        <w:rPr>
          <w:rFonts w:ascii="Arial" w:hAnsi="Arial" w:cs="Arial"/>
          <w:sz w:val="28"/>
          <w:szCs w:val="28"/>
          <w:vertAlign w:val="superscript"/>
          <w:lang w:bidi="ar-IQ"/>
        </w:rPr>
        <w:t>)</w:t>
      </w:r>
      <w:r w:rsidRPr="00C258F6">
        <w:rPr>
          <w:rStyle w:val="FootnoteReference"/>
          <w:rFonts w:ascii="Arial" w:hAnsi="Arial" w:cs="Arial"/>
          <w:sz w:val="28"/>
          <w:szCs w:val="28"/>
          <w:rtl/>
          <w:lang w:bidi="ar-IQ"/>
        </w:rPr>
        <w:footnoteReference w:id="11"/>
      </w:r>
      <w:r w:rsidRPr="00C258F6">
        <w:rPr>
          <w:rFonts w:ascii="Arial" w:hAnsi="Arial" w:cs="Arial"/>
          <w:sz w:val="28"/>
          <w:szCs w:val="28"/>
          <w:vertAlign w:val="superscript"/>
          <w:lang w:bidi="ar-IQ"/>
        </w:rPr>
        <w:t>(</w:t>
      </w:r>
      <w:r>
        <w:rPr>
          <w:rFonts w:ascii="Arial" w:hAnsi="Arial" w:cs="Arial" w:hint="cs"/>
          <w:sz w:val="28"/>
          <w:szCs w:val="28"/>
          <w:rtl/>
          <w:lang w:bidi="ar-IQ"/>
        </w:rPr>
        <w:t>. فقانون الموازنة كما يذهب القاضي الدستوري الفرنسي يحتوي على الموضوعات التي يتضمنها القانون الأساسي . علما أن القانون الأساسي الذي ينظم الموازنة العامة في فرنسا صدر في 2 يناير 1959 وقد ألغي هذا القانون وحل محله قانون أغسطس / آب 2001 .</w:t>
      </w:r>
    </w:p>
    <w:p w:rsidR="00A72053" w:rsidRDefault="00A72053" w:rsidP="00A72053">
      <w:pPr>
        <w:bidi/>
        <w:ind w:firstLine="571"/>
        <w:jc w:val="mediumKashida"/>
        <w:rPr>
          <w:rFonts w:ascii="Arial" w:hAnsi="Arial" w:cs="Arial"/>
          <w:sz w:val="28"/>
          <w:szCs w:val="28"/>
          <w:rtl/>
          <w:lang w:bidi="ar-IQ"/>
        </w:rPr>
      </w:pPr>
      <w:r>
        <w:rPr>
          <w:rFonts w:ascii="Arial" w:hAnsi="Arial" w:cs="Arial" w:hint="cs"/>
          <w:sz w:val="28"/>
          <w:szCs w:val="28"/>
          <w:rtl/>
          <w:lang w:bidi="ar-IQ"/>
        </w:rPr>
        <w:t xml:space="preserve">وفي المعنى نفسه أكد المجلس الدستوري في 29 / ديسمبر 1986 بمناسبة قانون الموازنة العامة لسنة 1987 على المحتوى الموضوعي للموازنة ، فعندما قرر البرلمان الفرنسي تعويض المدرسين في المؤسسات الخاصة ، وادخالهم ضمن التعويضات المقررة للوظائف العامة للمدرسين ، فإن هذا القانون لا يمكن اعتباره قانون الموازنة العامة ، ذلك أن موضوعه من </w:t>
      </w:r>
    </w:p>
    <w:p w:rsidR="00A72053" w:rsidRDefault="00A72053" w:rsidP="00A72053">
      <w:pPr>
        <w:bidi/>
        <w:ind w:firstLine="571"/>
        <w:jc w:val="mediumKashida"/>
        <w:rPr>
          <w:rFonts w:ascii="Arial" w:hAnsi="Arial" w:cs="Arial"/>
          <w:sz w:val="28"/>
          <w:szCs w:val="28"/>
          <w:rtl/>
          <w:lang w:bidi="ar-IQ"/>
        </w:rPr>
      </w:pPr>
    </w:p>
    <w:p w:rsidR="00A72053" w:rsidRDefault="00A72053" w:rsidP="00A72053">
      <w:pPr>
        <w:bidi/>
        <w:ind w:firstLine="571"/>
        <w:jc w:val="mediumKashida"/>
        <w:rPr>
          <w:rFonts w:ascii="Arial" w:hAnsi="Arial" w:cs="Arial"/>
          <w:sz w:val="28"/>
          <w:szCs w:val="28"/>
          <w:rtl/>
          <w:lang w:bidi="ar-IQ"/>
        </w:rPr>
      </w:pPr>
      <w:r>
        <w:rPr>
          <w:rFonts w:ascii="Arial" w:hAnsi="Arial" w:cs="Arial" w:hint="cs"/>
          <w:sz w:val="28"/>
          <w:szCs w:val="28"/>
          <w:rtl/>
          <w:lang w:bidi="ar-IQ"/>
        </w:rPr>
        <w:t>الموضوعات التي لا تدخل ضمن الموازنة العامة</w:t>
      </w:r>
      <w:r w:rsidRPr="00C258F6">
        <w:rPr>
          <w:rFonts w:ascii="Arial" w:hAnsi="Arial" w:cs="Arial"/>
          <w:sz w:val="28"/>
          <w:szCs w:val="28"/>
          <w:vertAlign w:val="superscript"/>
          <w:lang w:bidi="ar-IQ"/>
        </w:rPr>
        <w:t>)</w:t>
      </w:r>
      <w:r w:rsidRPr="00C258F6">
        <w:rPr>
          <w:rStyle w:val="FootnoteReference"/>
          <w:rFonts w:ascii="Arial" w:hAnsi="Arial" w:cs="Arial"/>
          <w:sz w:val="28"/>
          <w:szCs w:val="28"/>
          <w:rtl/>
          <w:lang w:bidi="ar-IQ"/>
        </w:rPr>
        <w:footnoteReference w:id="12"/>
      </w:r>
      <w:r w:rsidRPr="00C258F6">
        <w:rPr>
          <w:rFonts w:ascii="Arial" w:hAnsi="Arial" w:cs="Arial"/>
          <w:sz w:val="28"/>
          <w:szCs w:val="28"/>
          <w:vertAlign w:val="superscript"/>
          <w:lang w:bidi="ar-IQ"/>
        </w:rPr>
        <w:t>(</w:t>
      </w:r>
      <w:r>
        <w:rPr>
          <w:rFonts w:ascii="Arial" w:hAnsi="Arial" w:cs="Arial" w:hint="cs"/>
          <w:sz w:val="28"/>
          <w:szCs w:val="28"/>
          <w:rtl/>
          <w:lang w:bidi="ar-IQ"/>
        </w:rPr>
        <w:t>.</w:t>
      </w:r>
    </w:p>
    <w:p w:rsidR="00A72053" w:rsidRDefault="00A72053" w:rsidP="00A72053">
      <w:pPr>
        <w:bidi/>
        <w:ind w:firstLine="571"/>
        <w:jc w:val="mediumKashida"/>
        <w:rPr>
          <w:rFonts w:ascii="Arial" w:hAnsi="Arial" w:cs="Arial"/>
          <w:sz w:val="28"/>
          <w:szCs w:val="28"/>
          <w:lang w:bidi="ar-IQ"/>
        </w:rPr>
      </w:pPr>
      <w:r>
        <w:rPr>
          <w:rFonts w:ascii="Arial" w:hAnsi="Arial" w:cs="Arial" w:hint="cs"/>
          <w:sz w:val="28"/>
          <w:szCs w:val="28"/>
          <w:rtl/>
          <w:lang w:bidi="ar-IQ"/>
        </w:rPr>
        <w:t xml:space="preserve">نستنتج مما تقدم أن قانون الموازنة العامة  الفرنسي يستقل بموضوعاته عن القوانين الأخرى ، فلا يجوز أن تتداخل القوانين ، أو أن يعتدى إحداها على الأخرى . وفي هذا المعنى  </w:t>
      </w:r>
      <w:r>
        <w:rPr>
          <w:rFonts w:ascii="Arial" w:hAnsi="Arial" w:cs="Arial" w:hint="cs"/>
          <w:sz w:val="28"/>
          <w:szCs w:val="28"/>
          <w:rtl/>
          <w:lang w:bidi="ar-IQ"/>
        </w:rPr>
        <w:lastRenderedPageBreak/>
        <w:t>استقر المجلس الدستوري على التمييز بين السلطة التشريعية للبرلمان في مجال القانون ، والسلطة التشريعية للبرلمان في مجال قانون الموازنة العامة ، مؤكدا عدم دستورية اعتداء أي من هاتين السلطتين على السلطة الأخرى</w:t>
      </w:r>
      <w:r w:rsidRPr="00C258F6">
        <w:rPr>
          <w:rFonts w:ascii="Arial" w:hAnsi="Arial" w:cs="Arial" w:hint="cs"/>
          <w:sz w:val="28"/>
          <w:szCs w:val="28"/>
          <w:vertAlign w:val="superscript"/>
          <w:rtl/>
          <w:lang w:bidi="ar-IQ"/>
        </w:rPr>
        <w:t>(</w:t>
      </w:r>
      <w:r w:rsidRPr="00C258F6">
        <w:rPr>
          <w:rStyle w:val="FootnoteReference"/>
          <w:rFonts w:ascii="Arial" w:hAnsi="Arial" w:cs="Arial"/>
          <w:sz w:val="28"/>
          <w:szCs w:val="28"/>
          <w:rtl/>
          <w:lang w:bidi="ar-IQ"/>
        </w:rPr>
        <w:footnoteReference w:id="13"/>
      </w:r>
      <w:r w:rsidRPr="00C258F6">
        <w:rPr>
          <w:rFonts w:ascii="Arial" w:hAnsi="Arial" w:cs="Arial" w:hint="cs"/>
          <w:sz w:val="28"/>
          <w:szCs w:val="28"/>
          <w:vertAlign w:val="superscript"/>
          <w:rtl/>
          <w:lang w:bidi="ar-IQ"/>
        </w:rPr>
        <w:t>)</w:t>
      </w:r>
      <w:r>
        <w:rPr>
          <w:rFonts w:ascii="Arial" w:hAnsi="Arial" w:cs="Arial" w:hint="cs"/>
          <w:sz w:val="28"/>
          <w:szCs w:val="28"/>
          <w:rtl/>
          <w:lang w:bidi="ar-IQ"/>
        </w:rPr>
        <w:t xml:space="preserve">. </w:t>
      </w:r>
    </w:p>
    <w:p w:rsidR="00A72053" w:rsidRDefault="00A72053" w:rsidP="00A72053">
      <w:pPr>
        <w:bidi/>
        <w:ind w:firstLine="571"/>
        <w:jc w:val="mediumKashida"/>
        <w:rPr>
          <w:rFonts w:ascii="Arial" w:hAnsi="Arial" w:cs="Arial"/>
          <w:b/>
          <w:bCs/>
          <w:sz w:val="28"/>
          <w:szCs w:val="28"/>
          <w:rtl/>
          <w:lang w:bidi="ar-IQ"/>
        </w:rPr>
      </w:pPr>
      <w:r w:rsidRPr="00C22EE8">
        <w:rPr>
          <w:rFonts w:ascii="Arial" w:hAnsi="Arial" w:cs="Arial" w:hint="cs"/>
          <w:b/>
          <w:bCs/>
          <w:sz w:val="28"/>
          <w:szCs w:val="28"/>
          <w:rtl/>
          <w:lang w:bidi="ar-IQ"/>
        </w:rPr>
        <w:t>ثانيا : موقف المحكمة الدستورية الكويتية من م</w:t>
      </w:r>
      <w:r>
        <w:rPr>
          <w:rFonts w:ascii="Arial" w:hAnsi="Arial" w:cs="Arial" w:hint="cs"/>
          <w:b/>
          <w:bCs/>
          <w:sz w:val="28"/>
          <w:szCs w:val="28"/>
          <w:rtl/>
          <w:lang w:bidi="ar-IQ"/>
        </w:rPr>
        <w:t>ُ</w:t>
      </w:r>
      <w:r w:rsidRPr="00C22EE8">
        <w:rPr>
          <w:rFonts w:ascii="Arial" w:hAnsi="Arial" w:cs="Arial" w:hint="cs"/>
          <w:b/>
          <w:bCs/>
          <w:sz w:val="28"/>
          <w:szCs w:val="28"/>
          <w:rtl/>
          <w:lang w:bidi="ar-IQ"/>
        </w:rPr>
        <w:t>لحقات الموازنة</w:t>
      </w:r>
    </w:p>
    <w:p w:rsidR="00A72053" w:rsidRDefault="00A72053" w:rsidP="00A72053">
      <w:pPr>
        <w:bidi/>
        <w:ind w:firstLine="571"/>
        <w:jc w:val="mediumKashida"/>
        <w:rPr>
          <w:rFonts w:ascii="Arial" w:hAnsi="Arial" w:cs="Arial"/>
          <w:sz w:val="28"/>
          <w:szCs w:val="28"/>
          <w:rtl/>
          <w:lang w:bidi="ar-IQ"/>
        </w:rPr>
      </w:pPr>
      <w:r>
        <w:rPr>
          <w:rFonts w:ascii="Arial" w:hAnsi="Arial" w:cs="Arial" w:hint="cs"/>
          <w:sz w:val="28"/>
          <w:szCs w:val="28"/>
          <w:rtl/>
          <w:lang w:bidi="ar-IQ"/>
        </w:rPr>
        <w:t>ذهبت المحكمة  الدستورية الكويتية  إلى ( أن قانون الموازنة العامة لا يمكن أن يشتمل على موضوعات من شأنها إنشاء ضريبة جديدة أو تعديل قانون أشترط الدستور صدور قانون خاص فيه . بمعنى أن قانون الموازنة لا يستطيع تعديل أي قانون موضوعي)</w:t>
      </w:r>
      <w:r w:rsidRPr="00C258F6">
        <w:rPr>
          <w:rFonts w:ascii="Arial" w:hAnsi="Arial" w:cs="Arial" w:hint="cs"/>
          <w:sz w:val="28"/>
          <w:szCs w:val="28"/>
          <w:vertAlign w:val="superscript"/>
          <w:rtl/>
          <w:lang w:bidi="ar-IQ"/>
        </w:rPr>
        <w:t>(</w:t>
      </w:r>
      <w:r w:rsidRPr="00C258F6">
        <w:rPr>
          <w:rStyle w:val="FootnoteReference"/>
          <w:rFonts w:ascii="Arial" w:hAnsi="Arial" w:cs="Arial"/>
          <w:sz w:val="28"/>
          <w:szCs w:val="28"/>
          <w:rtl/>
          <w:lang w:bidi="ar-IQ"/>
        </w:rPr>
        <w:footnoteReference w:id="14"/>
      </w:r>
      <w:r w:rsidRPr="00C258F6">
        <w:rPr>
          <w:rFonts w:ascii="Arial" w:hAnsi="Arial" w:cs="Arial" w:hint="cs"/>
          <w:sz w:val="28"/>
          <w:szCs w:val="28"/>
          <w:vertAlign w:val="superscript"/>
          <w:rtl/>
          <w:lang w:bidi="ar-IQ"/>
        </w:rPr>
        <w:t>)</w:t>
      </w:r>
      <w:r>
        <w:rPr>
          <w:rFonts w:ascii="Arial" w:hAnsi="Arial" w:cs="Arial" w:hint="cs"/>
          <w:sz w:val="28"/>
          <w:szCs w:val="28"/>
          <w:rtl/>
          <w:lang w:bidi="ar-IQ"/>
        </w:rPr>
        <w:t>.</w:t>
      </w:r>
    </w:p>
    <w:p w:rsidR="00D30332" w:rsidRDefault="00DD68D7" w:rsidP="00A72053">
      <w:pPr>
        <w:bidi/>
        <w:rPr>
          <w:lang w:bidi="ar-IQ"/>
        </w:rPr>
      </w:pPr>
      <w:bookmarkStart w:id="0" w:name="_GoBack"/>
      <w:bookmarkEnd w:id="0"/>
    </w:p>
    <w:sectPr w:rsidR="00D303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8D7" w:rsidRDefault="00DD68D7" w:rsidP="00A72053">
      <w:pPr>
        <w:spacing w:after="0" w:line="240" w:lineRule="auto"/>
      </w:pPr>
      <w:r>
        <w:separator/>
      </w:r>
    </w:p>
  </w:endnote>
  <w:endnote w:type="continuationSeparator" w:id="0">
    <w:p w:rsidR="00DD68D7" w:rsidRDefault="00DD68D7" w:rsidP="00A72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8D7" w:rsidRDefault="00DD68D7" w:rsidP="00A72053">
      <w:pPr>
        <w:spacing w:after="0" w:line="240" w:lineRule="auto"/>
      </w:pPr>
      <w:r>
        <w:separator/>
      </w:r>
    </w:p>
  </w:footnote>
  <w:footnote w:type="continuationSeparator" w:id="0">
    <w:p w:rsidR="00DD68D7" w:rsidRDefault="00DD68D7" w:rsidP="00A72053">
      <w:pPr>
        <w:spacing w:after="0" w:line="240" w:lineRule="auto"/>
      </w:pPr>
      <w:r>
        <w:continuationSeparator/>
      </w:r>
    </w:p>
  </w:footnote>
  <w:footnote w:id="1">
    <w:p w:rsidR="00A72053" w:rsidRPr="00210A23" w:rsidRDefault="00A72053" w:rsidP="00A72053">
      <w:pPr>
        <w:pStyle w:val="FootnoteText"/>
        <w:bidi/>
        <w:rPr>
          <w:rFonts w:ascii="Arial" w:hAnsi="Arial" w:cs="Arial"/>
          <w:sz w:val="24"/>
          <w:szCs w:val="24"/>
          <w:rtl/>
          <w:lang w:bidi="ar-IQ"/>
        </w:rPr>
      </w:pPr>
      <w:r w:rsidRPr="00210A23">
        <w:rPr>
          <w:rFonts w:ascii="Arial" w:hAnsi="Arial" w:cs="Arial"/>
          <w:sz w:val="24"/>
          <w:szCs w:val="24"/>
          <w:rtl/>
        </w:rPr>
        <w:t xml:space="preserve">( 1 ) </w:t>
      </w:r>
      <w:r w:rsidRPr="00210A23">
        <w:rPr>
          <w:rFonts w:ascii="Arial" w:hAnsi="Arial" w:cs="Arial"/>
          <w:sz w:val="24"/>
          <w:szCs w:val="24"/>
          <w:rtl/>
          <w:lang w:bidi="ar-IQ"/>
        </w:rPr>
        <w:t>يُنظر الفصل ( 75 ) من الدستور المغربي النافذ لسنة 2011 بأن : ( يصدر قانون المالية ... وذلك طبق الشروط المنصوص عليها في قانون تنظيمي .... ) .</w:t>
      </w:r>
    </w:p>
    <w:p w:rsidR="00A72053" w:rsidRPr="00210A23" w:rsidRDefault="00A72053" w:rsidP="00A72053">
      <w:pPr>
        <w:pStyle w:val="FootnoteText"/>
        <w:bidi/>
        <w:rPr>
          <w:rFonts w:ascii="Arial" w:hAnsi="Arial" w:cs="Arial"/>
          <w:sz w:val="24"/>
          <w:szCs w:val="24"/>
          <w:rtl/>
          <w:lang w:bidi="ar-IQ"/>
        </w:rPr>
      </w:pPr>
    </w:p>
  </w:footnote>
  <w:footnote w:id="2">
    <w:p w:rsidR="00A72053" w:rsidRPr="00210A23" w:rsidRDefault="00A72053" w:rsidP="00A72053">
      <w:pPr>
        <w:pStyle w:val="FootnoteText"/>
        <w:bidi/>
        <w:rPr>
          <w:rFonts w:ascii="Arial" w:hAnsi="Arial" w:cs="Arial"/>
          <w:sz w:val="24"/>
          <w:szCs w:val="24"/>
          <w:rtl/>
          <w:lang w:bidi="ar-IQ"/>
        </w:rPr>
      </w:pPr>
      <w:r w:rsidRPr="00210A23">
        <w:rPr>
          <w:rFonts w:ascii="Arial" w:hAnsi="Arial" w:cs="Arial"/>
          <w:sz w:val="24"/>
          <w:szCs w:val="24"/>
          <w:rtl/>
        </w:rPr>
        <w:t xml:space="preserve">( 2 ) </w:t>
      </w:r>
      <w:r w:rsidRPr="00210A23">
        <w:rPr>
          <w:rFonts w:ascii="Arial" w:hAnsi="Arial" w:cs="Arial"/>
          <w:sz w:val="24"/>
          <w:szCs w:val="24"/>
          <w:rtl/>
          <w:lang w:bidi="ar-IQ"/>
        </w:rPr>
        <w:t>د . منذر الشاوي ، فلسفة الدولة ، الطبعة الأولى ، الذاكرة للنشر والتوزيع ، بغداد  ، 2012 ، ص 312 .</w:t>
      </w:r>
    </w:p>
    <w:p w:rsidR="00A72053" w:rsidRPr="00210A23" w:rsidRDefault="00A72053" w:rsidP="00A72053">
      <w:pPr>
        <w:pStyle w:val="FootnoteText"/>
        <w:bidi/>
        <w:rPr>
          <w:rFonts w:ascii="Arial" w:hAnsi="Arial" w:cs="Arial"/>
          <w:sz w:val="24"/>
          <w:szCs w:val="24"/>
          <w:rtl/>
          <w:lang w:bidi="ar-IQ"/>
        </w:rPr>
      </w:pPr>
    </w:p>
  </w:footnote>
  <w:footnote w:id="3">
    <w:p w:rsidR="00A72053" w:rsidRPr="00210A23" w:rsidRDefault="00A72053" w:rsidP="00A72053">
      <w:pPr>
        <w:pStyle w:val="FootnoteText"/>
        <w:bidi/>
        <w:rPr>
          <w:rFonts w:ascii="Arial" w:hAnsi="Arial" w:cs="Arial"/>
          <w:sz w:val="24"/>
          <w:szCs w:val="24"/>
          <w:rtl/>
          <w:lang w:bidi="ar-IQ"/>
        </w:rPr>
      </w:pPr>
      <w:r w:rsidRPr="00210A23">
        <w:rPr>
          <w:rFonts w:ascii="Arial" w:hAnsi="Arial" w:cs="Arial"/>
          <w:sz w:val="24"/>
          <w:szCs w:val="24"/>
          <w:rtl/>
        </w:rPr>
        <w:t xml:space="preserve">( 3 ) </w:t>
      </w:r>
      <w:r w:rsidRPr="00210A23">
        <w:rPr>
          <w:rFonts w:ascii="Arial" w:hAnsi="Arial" w:cs="Arial"/>
          <w:sz w:val="24"/>
          <w:szCs w:val="24"/>
          <w:rtl/>
          <w:lang w:bidi="ar-IQ"/>
        </w:rPr>
        <w:t>د . فتحي فكري ، القانون الدستوري ، المبادئ الدستورية العامة ، دستور 1971 ، الكتاب الأول ، المبادئ الدستورية العامة وتطبيقاتها في مصر ، شركة وناس للطباعة ، بدون ذكر مكان النشر وسنة الطبع ، ص 58 .</w:t>
      </w:r>
    </w:p>
    <w:p w:rsidR="00A72053" w:rsidRPr="00210A23" w:rsidRDefault="00A72053" w:rsidP="00A72053">
      <w:pPr>
        <w:pStyle w:val="FootnoteText"/>
        <w:bidi/>
        <w:rPr>
          <w:rFonts w:ascii="Arial" w:hAnsi="Arial" w:cs="Arial"/>
          <w:sz w:val="24"/>
          <w:szCs w:val="24"/>
          <w:rtl/>
          <w:lang w:bidi="ar-IQ"/>
        </w:rPr>
      </w:pPr>
    </w:p>
  </w:footnote>
  <w:footnote w:id="4">
    <w:p w:rsidR="00A72053" w:rsidRPr="00210A23" w:rsidRDefault="00A72053" w:rsidP="00A72053">
      <w:pPr>
        <w:bidi/>
        <w:jc w:val="lowKashida"/>
        <w:rPr>
          <w:rFonts w:ascii="Arial" w:hAnsi="Arial" w:cs="Arial"/>
          <w:sz w:val="24"/>
          <w:szCs w:val="24"/>
          <w:rtl/>
          <w:lang w:bidi="ar-IQ"/>
        </w:rPr>
      </w:pPr>
      <w:r w:rsidRPr="00210A23">
        <w:rPr>
          <w:rFonts w:ascii="Arial" w:hAnsi="Arial" w:cs="Arial"/>
          <w:sz w:val="24"/>
          <w:szCs w:val="24"/>
          <w:rtl/>
        </w:rPr>
        <w:t xml:space="preserve">( 4 ) </w:t>
      </w:r>
      <w:r w:rsidRPr="00210A23">
        <w:rPr>
          <w:rFonts w:ascii="Arial" w:hAnsi="Arial" w:cs="Arial"/>
          <w:sz w:val="24"/>
          <w:szCs w:val="24"/>
          <w:rtl/>
          <w:lang w:bidi="ar-IQ"/>
        </w:rPr>
        <w:t>ينظر الفصل (الثامن والخمسون )من الدستور المغربي النافذ .</w:t>
      </w:r>
    </w:p>
    <w:p w:rsidR="00A72053" w:rsidRPr="00210A23" w:rsidRDefault="00A72053" w:rsidP="00A72053">
      <w:pPr>
        <w:pStyle w:val="FootnoteText"/>
        <w:bidi/>
        <w:rPr>
          <w:rFonts w:ascii="Arial" w:hAnsi="Arial" w:cs="Arial"/>
          <w:sz w:val="24"/>
          <w:szCs w:val="24"/>
          <w:rtl/>
          <w:lang w:bidi="ar-IQ"/>
        </w:rPr>
      </w:pPr>
    </w:p>
  </w:footnote>
  <w:footnote w:id="5">
    <w:p w:rsidR="00A72053" w:rsidRPr="00210A23" w:rsidRDefault="00A72053" w:rsidP="00A72053">
      <w:pPr>
        <w:pStyle w:val="FootnoteText"/>
        <w:bidi/>
        <w:rPr>
          <w:rFonts w:ascii="Arial" w:hAnsi="Arial" w:cs="Arial"/>
          <w:sz w:val="24"/>
          <w:szCs w:val="24"/>
          <w:rtl/>
          <w:lang w:bidi="ar-IQ"/>
        </w:rPr>
      </w:pPr>
      <w:r w:rsidRPr="00210A23">
        <w:rPr>
          <w:rFonts w:ascii="Arial" w:hAnsi="Arial" w:cs="Arial"/>
          <w:sz w:val="24"/>
          <w:szCs w:val="24"/>
          <w:rtl/>
        </w:rPr>
        <w:t xml:space="preserve">( </w:t>
      </w:r>
      <w:r>
        <w:rPr>
          <w:rFonts w:ascii="Arial" w:hAnsi="Arial" w:cs="Arial" w:hint="cs"/>
          <w:sz w:val="24"/>
          <w:szCs w:val="24"/>
          <w:rtl/>
        </w:rPr>
        <w:t>1</w:t>
      </w:r>
      <w:r w:rsidRPr="00210A23">
        <w:rPr>
          <w:rFonts w:ascii="Arial" w:hAnsi="Arial" w:cs="Arial"/>
          <w:sz w:val="24"/>
          <w:szCs w:val="24"/>
          <w:rtl/>
        </w:rPr>
        <w:t xml:space="preserve"> ) تنظر المادة ( 69 ) من القانون التنظيمي المغربي رقم ( 130.13 ) لقانون المالية الصادر في 14 شعبان ( 2 يوليو 2015 ) المنشور في الجريدة الرسمية المغربية عدد ( 6370 ) فاتح رمضان 1436 – 18 يونيو 2015 .</w:t>
      </w:r>
    </w:p>
  </w:footnote>
  <w:footnote w:id="6">
    <w:p w:rsidR="00A72053" w:rsidRPr="00210A23" w:rsidRDefault="00A72053" w:rsidP="00A72053">
      <w:pPr>
        <w:bidi/>
        <w:jc w:val="lowKashida"/>
        <w:rPr>
          <w:rFonts w:ascii="Arial" w:hAnsi="Arial" w:cs="Arial"/>
          <w:sz w:val="24"/>
          <w:szCs w:val="24"/>
          <w:rtl/>
          <w:lang w:bidi="ar-IQ"/>
        </w:rPr>
      </w:pPr>
      <w:r w:rsidRPr="00210A23">
        <w:rPr>
          <w:rFonts w:ascii="Arial" w:hAnsi="Arial" w:cs="Arial"/>
          <w:sz w:val="24"/>
          <w:szCs w:val="24"/>
          <w:rtl/>
        </w:rPr>
        <w:t xml:space="preserve">( </w:t>
      </w:r>
      <w:r>
        <w:rPr>
          <w:rFonts w:ascii="Arial" w:hAnsi="Arial" w:cs="Arial" w:hint="cs"/>
          <w:sz w:val="24"/>
          <w:szCs w:val="24"/>
          <w:rtl/>
        </w:rPr>
        <w:t>2</w:t>
      </w:r>
      <w:r w:rsidRPr="00210A23">
        <w:rPr>
          <w:rFonts w:ascii="Arial" w:hAnsi="Arial" w:cs="Arial"/>
          <w:sz w:val="24"/>
          <w:szCs w:val="24"/>
          <w:rtl/>
        </w:rPr>
        <w:t xml:space="preserve"> )</w:t>
      </w:r>
      <w:r w:rsidRPr="00210A23">
        <w:rPr>
          <w:rFonts w:ascii="Arial" w:hAnsi="Arial" w:cs="Arial"/>
          <w:sz w:val="24"/>
          <w:szCs w:val="24"/>
          <w:rtl/>
          <w:lang w:bidi="ar-IQ"/>
        </w:rPr>
        <w:t xml:space="preserve"> تنظر المادة ( 6 ) من القانون التظيمي المغربي لقانون المالية لسنة 2015.. </w:t>
      </w:r>
      <w:r w:rsidRPr="00210A23">
        <w:rPr>
          <w:rFonts w:ascii="Arial" w:hAnsi="Arial" w:cs="Arial"/>
          <w:sz w:val="24"/>
          <w:szCs w:val="24"/>
          <w:rtl/>
        </w:rPr>
        <w:t xml:space="preserve"> </w:t>
      </w:r>
    </w:p>
  </w:footnote>
  <w:footnote w:id="7">
    <w:p w:rsidR="00A72053" w:rsidRPr="00210A23" w:rsidRDefault="00A72053" w:rsidP="00A72053">
      <w:pPr>
        <w:pStyle w:val="FootnoteText"/>
        <w:bidi/>
        <w:rPr>
          <w:rFonts w:ascii="Arial" w:hAnsi="Arial" w:cs="Arial"/>
          <w:sz w:val="24"/>
          <w:szCs w:val="24"/>
          <w:rtl/>
          <w:lang w:bidi="ar-IQ"/>
        </w:rPr>
      </w:pPr>
      <w:r w:rsidRPr="00210A23">
        <w:rPr>
          <w:rFonts w:ascii="Arial" w:hAnsi="Arial" w:cs="Arial"/>
          <w:sz w:val="24"/>
          <w:szCs w:val="24"/>
          <w:rtl/>
        </w:rPr>
        <w:t xml:space="preserve">( </w:t>
      </w:r>
      <w:r>
        <w:rPr>
          <w:rFonts w:ascii="Arial" w:hAnsi="Arial" w:cs="Arial" w:hint="cs"/>
          <w:sz w:val="24"/>
          <w:szCs w:val="24"/>
          <w:rtl/>
        </w:rPr>
        <w:t>3</w:t>
      </w:r>
      <w:r w:rsidRPr="00210A23">
        <w:rPr>
          <w:rFonts w:ascii="Arial" w:hAnsi="Arial" w:cs="Arial"/>
          <w:sz w:val="24"/>
          <w:szCs w:val="24"/>
          <w:rtl/>
        </w:rPr>
        <w:t xml:space="preserve"> ) </w:t>
      </w:r>
      <w:r w:rsidRPr="00210A23">
        <w:rPr>
          <w:rFonts w:ascii="Arial" w:hAnsi="Arial" w:cs="Arial"/>
          <w:sz w:val="24"/>
          <w:szCs w:val="24"/>
          <w:rtl/>
          <w:lang w:bidi="ar-IQ"/>
        </w:rPr>
        <w:t>تنظر المادتان ( 36 ) و ( 56 ) من القانون التنظيمي المغربي لقانون المالية لسنة 2015 .</w:t>
      </w:r>
    </w:p>
    <w:p w:rsidR="00A72053" w:rsidRDefault="00A72053" w:rsidP="00A72053">
      <w:pPr>
        <w:pStyle w:val="FootnoteText"/>
        <w:bidi/>
        <w:rPr>
          <w:rtl/>
          <w:lang w:bidi="ar-IQ"/>
        </w:rPr>
      </w:pPr>
    </w:p>
  </w:footnote>
  <w:footnote w:id="8">
    <w:p w:rsidR="00A72053" w:rsidRPr="00210A23" w:rsidRDefault="00A72053" w:rsidP="00A72053">
      <w:pPr>
        <w:pStyle w:val="FootnoteText"/>
        <w:bidi/>
        <w:rPr>
          <w:rFonts w:ascii="Arial" w:hAnsi="Arial" w:cs="Arial"/>
          <w:sz w:val="24"/>
          <w:szCs w:val="24"/>
          <w:rtl/>
          <w:lang w:bidi="ar-IQ"/>
        </w:rPr>
      </w:pPr>
      <w:r w:rsidRPr="00210A23">
        <w:rPr>
          <w:rFonts w:ascii="Arial" w:hAnsi="Arial" w:cs="Arial"/>
          <w:sz w:val="24"/>
          <w:szCs w:val="24"/>
          <w:rtl/>
        </w:rPr>
        <w:t xml:space="preserve">( </w:t>
      </w:r>
      <w:r>
        <w:rPr>
          <w:rFonts w:ascii="Arial" w:hAnsi="Arial" w:cs="Arial" w:hint="cs"/>
          <w:sz w:val="24"/>
          <w:szCs w:val="24"/>
          <w:rtl/>
        </w:rPr>
        <w:t>4</w:t>
      </w:r>
      <w:r w:rsidRPr="00210A23">
        <w:rPr>
          <w:rFonts w:ascii="Arial" w:hAnsi="Arial" w:cs="Arial"/>
          <w:sz w:val="24"/>
          <w:szCs w:val="24"/>
          <w:rtl/>
        </w:rPr>
        <w:t xml:space="preserve"> ) </w:t>
      </w:r>
      <w:r w:rsidRPr="00210A23">
        <w:rPr>
          <w:rFonts w:ascii="Arial" w:hAnsi="Arial" w:cs="Arial"/>
          <w:sz w:val="24"/>
          <w:szCs w:val="24"/>
          <w:rtl/>
          <w:lang w:bidi="ar-IQ"/>
        </w:rPr>
        <w:t>تنظر المادة ( الخامسة ) من المرسوم الإشتراعي رقم ( 10 ) في 29 / 12 / 1954 مذكورة لدى د . فوزي فرحات ، المصدر السابق ، ص 134 .</w:t>
      </w:r>
    </w:p>
  </w:footnote>
  <w:footnote w:id="9">
    <w:p w:rsidR="00A72053" w:rsidRPr="00210A23" w:rsidRDefault="00A72053" w:rsidP="00A72053">
      <w:pPr>
        <w:pStyle w:val="FootnoteText"/>
        <w:bidi/>
        <w:rPr>
          <w:rFonts w:ascii="Arial" w:hAnsi="Arial" w:cs="Arial"/>
          <w:sz w:val="24"/>
          <w:szCs w:val="24"/>
          <w:rtl/>
          <w:lang w:bidi="ar-IQ"/>
        </w:rPr>
      </w:pPr>
      <w:r w:rsidRPr="00210A23">
        <w:rPr>
          <w:rFonts w:ascii="Arial" w:hAnsi="Arial" w:cs="Arial"/>
          <w:sz w:val="24"/>
          <w:szCs w:val="24"/>
          <w:rtl/>
        </w:rPr>
        <w:t xml:space="preserve">( 1 ) </w:t>
      </w:r>
      <w:r w:rsidRPr="00210A23">
        <w:rPr>
          <w:rFonts w:ascii="Arial" w:hAnsi="Arial" w:cs="Arial"/>
          <w:sz w:val="24"/>
          <w:szCs w:val="24"/>
          <w:rtl/>
          <w:lang w:bidi="ar-IQ"/>
        </w:rPr>
        <w:t>د . سوزي عدلي ناشد ، أساسيات المالية العامة ، النفقات العامة ، الإيرادات العامة ، الميزانية العامة ، منشورات الحلبي الحقوقية ، بيروت ، 2009 ، ص229 .كذلك د . محمد عبدالله العربي ، المصدر السابق ، ص 44 . ود . حسن عواضة ، المالية العامة ، دراسة مقارنة ، الموازنة ، النفقات والواردات العمومية ، القروض والخزينة ، منشورات دار الطليعة ، بيروت ، 1967 ، ص 139 – 140. كذلك د . محمد توفيق يونس ، تحضير الميزانية المصرية ، مطبعة الرغائب ، القاهرة ، 1934 ، ص 70 .</w:t>
      </w:r>
    </w:p>
  </w:footnote>
  <w:footnote w:id="10">
    <w:p w:rsidR="00A72053" w:rsidRDefault="00A72053" w:rsidP="00A72053">
      <w:pPr>
        <w:pStyle w:val="FootnoteText"/>
        <w:bidi/>
        <w:rPr>
          <w:rtl/>
          <w:lang w:bidi="ar-IQ"/>
        </w:rPr>
      </w:pPr>
      <w:r w:rsidRPr="00210A23">
        <w:rPr>
          <w:rFonts w:ascii="Arial" w:hAnsi="Arial" w:cs="Arial"/>
          <w:sz w:val="24"/>
          <w:szCs w:val="24"/>
          <w:rtl/>
        </w:rPr>
        <w:t xml:space="preserve">( </w:t>
      </w:r>
      <w:r>
        <w:rPr>
          <w:rFonts w:ascii="Arial" w:hAnsi="Arial" w:cs="Arial" w:hint="cs"/>
          <w:sz w:val="24"/>
          <w:szCs w:val="24"/>
          <w:rtl/>
        </w:rPr>
        <w:t>1</w:t>
      </w:r>
      <w:r w:rsidRPr="00210A23">
        <w:rPr>
          <w:rFonts w:ascii="Arial" w:hAnsi="Arial" w:cs="Arial"/>
          <w:sz w:val="24"/>
          <w:szCs w:val="24"/>
          <w:rtl/>
        </w:rPr>
        <w:t xml:space="preserve"> ) </w:t>
      </w:r>
      <w:r w:rsidRPr="00210A23">
        <w:rPr>
          <w:rFonts w:ascii="Arial" w:hAnsi="Arial" w:cs="Arial"/>
          <w:sz w:val="24"/>
          <w:szCs w:val="24"/>
          <w:rtl/>
          <w:lang w:bidi="ar-IQ"/>
        </w:rPr>
        <w:t>المادة ( 34 ) من الدستور الفرنسي لسنة 1958 .</w:t>
      </w:r>
    </w:p>
  </w:footnote>
  <w:footnote w:id="11">
    <w:p w:rsidR="00A72053" w:rsidRPr="00210A23" w:rsidRDefault="00A72053" w:rsidP="00A72053">
      <w:pPr>
        <w:pStyle w:val="ListParagraph"/>
        <w:bidi/>
        <w:ind w:left="429" w:hanging="141"/>
        <w:jc w:val="right"/>
        <w:rPr>
          <w:rFonts w:ascii="Arial" w:hAnsi="Arial" w:cs="Arial"/>
          <w:sz w:val="24"/>
          <w:szCs w:val="24"/>
          <w:lang w:bidi="ar-IQ"/>
        </w:rPr>
      </w:pPr>
      <w:r w:rsidRPr="00210A23">
        <w:rPr>
          <w:rFonts w:ascii="Arial" w:hAnsi="Arial" w:cs="Arial"/>
          <w:sz w:val="24"/>
          <w:szCs w:val="24"/>
        </w:rPr>
        <w:t xml:space="preserve">( </w:t>
      </w:r>
      <w:r>
        <w:rPr>
          <w:rStyle w:val="FootnoteReference"/>
          <w:rFonts w:ascii="Arial" w:hAnsi="Arial" w:cs="Arial"/>
          <w:sz w:val="24"/>
          <w:szCs w:val="24"/>
        </w:rPr>
        <w:t>2</w:t>
      </w:r>
      <w:r w:rsidRPr="00210A23">
        <w:rPr>
          <w:rFonts w:ascii="Arial" w:hAnsi="Arial" w:cs="Arial"/>
          <w:sz w:val="24"/>
          <w:szCs w:val="24"/>
        </w:rPr>
        <w:t xml:space="preserve"> )</w:t>
      </w:r>
      <w:r w:rsidRPr="00210A23">
        <w:rPr>
          <w:rFonts w:ascii="Arial" w:hAnsi="Arial" w:cs="Arial"/>
          <w:sz w:val="24"/>
          <w:szCs w:val="24"/>
          <w:lang w:bidi="ar-IQ"/>
        </w:rPr>
        <w:t xml:space="preserve"> C.C.29 December 2003 </w:t>
      </w:r>
    </w:p>
    <w:p w:rsidR="00A72053" w:rsidRPr="00210A23" w:rsidRDefault="00A72053" w:rsidP="00A72053">
      <w:pPr>
        <w:pStyle w:val="ListParagraph"/>
        <w:bidi/>
        <w:ind w:left="429" w:hanging="141"/>
        <w:jc w:val="right"/>
        <w:rPr>
          <w:rFonts w:ascii="Arial" w:hAnsi="Arial" w:cs="Arial"/>
          <w:sz w:val="24"/>
          <w:szCs w:val="24"/>
          <w:lang w:bidi="ar-IQ"/>
        </w:rPr>
      </w:pPr>
      <w:r w:rsidRPr="00210A23">
        <w:rPr>
          <w:rFonts w:ascii="Arial" w:hAnsi="Arial" w:cs="Arial"/>
          <w:sz w:val="24"/>
          <w:szCs w:val="24"/>
          <w:rtl/>
          <w:lang w:bidi="ar-IQ"/>
        </w:rPr>
        <w:t>كذلك</w:t>
      </w:r>
      <w:r w:rsidRPr="00210A23">
        <w:rPr>
          <w:rFonts w:ascii="Arial" w:hAnsi="Arial" w:cs="Arial"/>
          <w:sz w:val="24"/>
          <w:szCs w:val="24"/>
          <w:lang w:bidi="ar-IQ"/>
        </w:rPr>
        <w:t xml:space="preserve">  C.C.24 et 30 </w:t>
      </w:r>
      <w:proofErr w:type="spellStart"/>
      <w:r w:rsidRPr="00210A23">
        <w:rPr>
          <w:rFonts w:ascii="Arial" w:hAnsi="Arial" w:cs="Arial"/>
          <w:sz w:val="24"/>
          <w:szCs w:val="24"/>
          <w:lang w:bidi="ar-IQ"/>
        </w:rPr>
        <w:t>dec</w:t>
      </w:r>
      <w:proofErr w:type="spellEnd"/>
      <w:r w:rsidRPr="00210A23">
        <w:rPr>
          <w:rFonts w:ascii="Arial" w:hAnsi="Arial" w:cs="Arial"/>
          <w:sz w:val="24"/>
          <w:szCs w:val="24"/>
          <w:lang w:bidi="ar-IQ"/>
        </w:rPr>
        <w:t xml:space="preserve"> ,1979,vote du budget ,</w:t>
      </w:r>
      <w:proofErr w:type="spellStart"/>
      <w:r w:rsidRPr="00210A23">
        <w:rPr>
          <w:rFonts w:ascii="Arial" w:hAnsi="Arial" w:cs="Arial"/>
          <w:sz w:val="24"/>
          <w:szCs w:val="24"/>
          <w:lang w:bidi="ar-IQ"/>
        </w:rPr>
        <w:t>Sirey</w:t>
      </w:r>
      <w:proofErr w:type="spellEnd"/>
      <w:r w:rsidRPr="00210A23">
        <w:rPr>
          <w:rFonts w:ascii="Arial" w:hAnsi="Arial" w:cs="Arial"/>
          <w:sz w:val="24"/>
          <w:szCs w:val="24"/>
          <w:lang w:bidi="ar-IQ"/>
        </w:rPr>
        <w:t>.</w:t>
      </w:r>
    </w:p>
    <w:p w:rsidR="00A72053" w:rsidRPr="00210A23" w:rsidRDefault="00A72053" w:rsidP="00A72053">
      <w:pPr>
        <w:pStyle w:val="ListParagraph"/>
        <w:bidi/>
        <w:ind w:left="429" w:hanging="141"/>
        <w:jc w:val="lowKashida"/>
        <w:rPr>
          <w:rFonts w:ascii="Arial" w:hAnsi="Arial" w:cs="Arial"/>
          <w:sz w:val="24"/>
          <w:szCs w:val="24"/>
          <w:rtl/>
          <w:lang w:bidi="ar-IQ"/>
        </w:rPr>
      </w:pPr>
      <w:r w:rsidRPr="00210A23">
        <w:rPr>
          <w:rFonts w:ascii="Arial" w:hAnsi="Arial" w:cs="Arial"/>
          <w:sz w:val="24"/>
          <w:szCs w:val="24"/>
          <w:rtl/>
          <w:lang w:bidi="ar-IQ"/>
        </w:rPr>
        <w:t>مذكورة لدى د . أبراهيم محمد الحمود ، فلسفة المبدأ الدستوري لسنوية الميزانية العامة ، مجلة الحقوق ، جامعة الكويت ، العدد 2 ، السنة 32 ، يونيو 2008 ، ص 42 – 43 .</w:t>
      </w:r>
    </w:p>
  </w:footnote>
  <w:footnote w:id="12">
    <w:p w:rsidR="00A72053" w:rsidRPr="00210A23" w:rsidRDefault="00A72053" w:rsidP="00A72053">
      <w:pPr>
        <w:pStyle w:val="ListParagraph"/>
        <w:tabs>
          <w:tab w:val="right" w:pos="9360"/>
        </w:tabs>
        <w:bidi/>
        <w:ind w:left="429" w:hanging="141"/>
        <w:jc w:val="right"/>
        <w:rPr>
          <w:rFonts w:ascii="Arial" w:hAnsi="Arial" w:cs="Arial"/>
          <w:sz w:val="24"/>
          <w:szCs w:val="24"/>
          <w:rtl/>
          <w:lang w:bidi="ar-IQ"/>
        </w:rPr>
      </w:pPr>
      <w:r w:rsidRPr="00210A23">
        <w:rPr>
          <w:rFonts w:ascii="Arial" w:hAnsi="Arial" w:cs="Arial"/>
          <w:sz w:val="24"/>
          <w:szCs w:val="24"/>
        </w:rPr>
        <w:t xml:space="preserve">( </w:t>
      </w:r>
      <w:r w:rsidRPr="00210A23">
        <w:rPr>
          <w:rStyle w:val="FootnoteReference"/>
          <w:rFonts w:ascii="Arial" w:hAnsi="Arial" w:cs="Arial"/>
          <w:sz w:val="24"/>
          <w:szCs w:val="24"/>
        </w:rPr>
        <w:footnoteRef/>
      </w:r>
      <w:r w:rsidRPr="00210A23">
        <w:rPr>
          <w:rFonts w:ascii="Arial" w:hAnsi="Arial" w:cs="Arial"/>
          <w:sz w:val="24"/>
          <w:szCs w:val="24"/>
        </w:rPr>
        <w:t xml:space="preserve"> )</w:t>
      </w:r>
      <w:r w:rsidRPr="00210A23">
        <w:rPr>
          <w:rFonts w:ascii="Arial" w:hAnsi="Arial" w:cs="Arial"/>
          <w:sz w:val="24"/>
          <w:szCs w:val="24"/>
          <w:lang w:bidi="ar-IQ"/>
        </w:rPr>
        <w:t xml:space="preserve"> C .C.29 </w:t>
      </w:r>
      <w:proofErr w:type="gramStart"/>
      <w:r w:rsidRPr="00210A23">
        <w:rPr>
          <w:rFonts w:ascii="Arial" w:hAnsi="Arial" w:cs="Arial"/>
          <w:sz w:val="24"/>
          <w:szCs w:val="24"/>
          <w:lang w:bidi="ar-IQ"/>
        </w:rPr>
        <w:t>December ,</w:t>
      </w:r>
      <w:proofErr w:type="gramEnd"/>
      <w:r w:rsidRPr="00210A23">
        <w:rPr>
          <w:rFonts w:ascii="Arial" w:hAnsi="Arial" w:cs="Arial"/>
          <w:sz w:val="24"/>
          <w:szCs w:val="24"/>
          <w:lang w:bidi="ar-IQ"/>
        </w:rPr>
        <w:t>1986 .</w:t>
      </w:r>
    </w:p>
    <w:p w:rsidR="00A72053" w:rsidRPr="00210A23" w:rsidRDefault="00A72053" w:rsidP="00A72053">
      <w:pPr>
        <w:pStyle w:val="ListParagraph"/>
        <w:tabs>
          <w:tab w:val="right" w:pos="9360"/>
        </w:tabs>
        <w:bidi/>
        <w:ind w:left="429" w:hanging="141"/>
        <w:jc w:val="right"/>
        <w:rPr>
          <w:rFonts w:ascii="Arial" w:hAnsi="Arial" w:cs="Arial"/>
          <w:sz w:val="24"/>
          <w:szCs w:val="24"/>
          <w:rtl/>
          <w:lang w:bidi="ar-IQ"/>
        </w:rPr>
      </w:pPr>
      <w:r w:rsidRPr="00210A23">
        <w:rPr>
          <w:rFonts w:ascii="Arial" w:hAnsi="Arial" w:cs="Arial"/>
          <w:sz w:val="24"/>
          <w:szCs w:val="24"/>
          <w:rtl/>
          <w:lang w:bidi="ar-IQ"/>
        </w:rPr>
        <w:t>مذكور لدى د . أبراهيم محمد الحمود ، المصدر السابق ،  ص 34 .</w:t>
      </w:r>
    </w:p>
    <w:p w:rsidR="00A72053" w:rsidRPr="00210A23" w:rsidRDefault="00A72053" w:rsidP="00A72053">
      <w:pPr>
        <w:pStyle w:val="FootnoteText"/>
        <w:rPr>
          <w:rFonts w:ascii="Arial" w:hAnsi="Arial" w:cs="Arial"/>
          <w:sz w:val="24"/>
          <w:szCs w:val="24"/>
          <w:lang w:bidi="ar-IQ"/>
        </w:rPr>
      </w:pPr>
    </w:p>
  </w:footnote>
  <w:footnote w:id="13">
    <w:p w:rsidR="00A72053" w:rsidRPr="00210A23" w:rsidRDefault="00A72053" w:rsidP="00A72053">
      <w:pPr>
        <w:pStyle w:val="FootnoteText"/>
        <w:bidi/>
        <w:rPr>
          <w:rFonts w:ascii="Arial" w:hAnsi="Arial" w:cs="Arial"/>
          <w:sz w:val="24"/>
          <w:szCs w:val="24"/>
          <w:lang w:bidi="ar-IQ"/>
        </w:rPr>
      </w:pPr>
      <w:r w:rsidRPr="00210A23">
        <w:rPr>
          <w:rFonts w:ascii="Arial" w:hAnsi="Arial" w:cs="Arial"/>
          <w:sz w:val="24"/>
          <w:szCs w:val="24"/>
          <w:rtl/>
          <w:lang w:bidi="ar-IQ"/>
        </w:rPr>
        <w:t xml:space="preserve">( </w:t>
      </w:r>
      <w:r>
        <w:rPr>
          <w:rFonts w:ascii="Arial" w:hAnsi="Arial" w:cs="Arial" w:hint="cs"/>
          <w:sz w:val="24"/>
          <w:szCs w:val="24"/>
          <w:rtl/>
          <w:lang w:bidi="ar-IQ"/>
        </w:rPr>
        <w:t>2</w:t>
      </w:r>
      <w:r w:rsidRPr="00210A23">
        <w:rPr>
          <w:rFonts w:ascii="Arial" w:hAnsi="Arial" w:cs="Arial"/>
          <w:sz w:val="24"/>
          <w:szCs w:val="24"/>
          <w:rtl/>
          <w:lang w:bidi="ar-IQ"/>
        </w:rPr>
        <w:t xml:space="preserve"> ) قرار المجلس الدستوري الصادر في 21 ديسمبر 1969 وقراره في 27 يوليو 1978 . مذكوران لدى د . أبراهيم محمد الحمود . المصدر السابق ، ص 47 .</w:t>
      </w:r>
    </w:p>
    <w:p w:rsidR="00A72053" w:rsidRPr="00210A23" w:rsidRDefault="00A72053" w:rsidP="00A72053">
      <w:pPr>
        <w:pStyle w:val="FootnoteText"/>
        <w:bidi/>
        <w:rPr>
          <w:rFonts w:ascii="Arial" w:hAnsi="Arial" w:cs="Arial"/>
          <w:sz w:val="24"/>
          <w:szCs w:val="24"/>
          <w:rtl/>
          <w:lang w:bidi="ar-IQ"/>
        </w:rPr>
      </w:pPr>
    </w:p>
  </w:footnote>
  <w:footnote w:id="14">
    <w:p w:rsidR="00A72053" w:rsidRDefault="00A72053" w:rsidP="00A72053">
      <w:pPr>
        <w:pStyle w:val="FootnoteText"/>
        <w:bidi/>
        <w:rPr>
          <w:rtl/>
          <w:lang w:bidi="ar-IQ"/>
        </w:rPr>
      </w:pPr>
      <w:r w:rsidRPr="00210A23">
        <w:rPr>
          <w:rFonts w:ascii="Arial" w:hAnsi="Arial" w:cs="Arial"/>
          <w:sz w:val="24"/>
          <w:szCs w:val="24"/>
          <w:rtl/>
        </w:rPr>
        <w:t xml:space="preserve">( </w:t>
      </w:r>
      <w:r>
        <w:rPr>
          <w:rFonts w:ascii="Arial" w:hAnsi="Arial" w:cs="Arial" w:hint="cs"/>
          <w:sz w:val="24"/>
          <w:szCs w:val="24"/>
          <w:rtl/>
        </w:rPr>
        <w:t>3</w:t>
      </w:r>
      <w:r w:rsidRPr="00210A23">
        <w:rPr>
          <w:rFonts w:ascii="Arial" w:hAnsi="Arial" w:cs="Arial"/>
          <w:sz w:val="24"/>
          <w:szCs w:val="24"/>
          <w:rtl/>
        </w:rPr>
        <w:t xml:space="preserve"> ) </w:t>
      </w:r>
      <w:r w:rsidRPr="00210A23">
        <w:rPr>
          <w:rFonts w:ascii="Arial" w:hAnsi="Arial" w:cs="Arial"/>
          <w:sz w:val="24"/>
          <w:szCs w:val="24"/>
          <w:rtl/>
          <w:lang w:bidi="ar-IQ"/>
        </w:rPr>
        <w:t>القرار التفسيري رقم ( 9 / 2001 ) مذكور في مجلة الكويت اليوم عدد ( 551 ) في 3 / 3 / 2003  يُنظر د . أبراهيم محمد الحمود ، المصدر السابق ، ص 43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53"/>
    <w:rsid w:val="005F5011"/>
    <w:rsid w:val="007C5B79"/>
    <w:rsid w:val="008B1A88"/>
    <w:rsid w:val="00A72053"/>
    <w:rsid w:val="00DA2874"/>
    <w:rsid w:val="00DD68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0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053"/>
    <w:pPr>
      <w:ind w:left="720"/>
      <w:contextualSpacing/>
    </w:pPr>
  </w:style>
  <w:style w:type="paragraph" w:styleId="FootnoteText">
    <w:name w:val="footnote text"/>
    <w:basedOn w:val="Normal"/>
    <w:link w:val="FootnoteTextChar"/>
    <w:uiPriority w:val="99"/>
    <w:semiHidden/>
    <w:unhideWhenUsed/>
    <w:rsid w:val="00A720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2053"/>
    <w:rPr>
      <w:sz w:val="20"/>
      <w:szCs w:val="20"/>
    </w:rPr>
  </w:style>
  <w:style w:type="character" w:styleId="FootnoteReference">
    <w:name w:val="footnote reference"/>
    <w:basedOn w:val="DefaultParagraphFont"/>
    <w:uiPriority w:val="99"/>
    <w:semiHidden/>
    <w:unhideWhenUsed/>
    <w:rsid w:val="00A720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0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053"/>
    <w:pPr>
      <w:ind w:left="720"/>
      <w:contextualSpacing/>
    </w:pPr>
  </w:style>
  <w:style w:type="paragraph" w:styleId="FootnoteText">
    <w:name w:val="footnote text"/>
    <w:basedOn w:val="Normal"/>
    <w:link w:val="FootnoteTextChar"/>
    <w:uiPriority w:val="99"/>
    <w:semiHidden/>
    <w:unhideWhenUsed/>
    <w:rsid w:val="00A720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2053"/>
    <w:rPr>
      <w:sz w:val="20"/>
      <w:szCs w:val="20"/>
    </w:rPr>
  </w:style>
  <w:style w:type="character" w:styleId="FootnoteReference">
    <w:name w:val="footnote reference"/>
    <w:basedOn w:val="DefaultParagraphFont"/>
    <w:uiPriority w:val="99"/>
    <w:semiHidden/>
    <w:unhideWhenUsed/>
    <w:rsid w:val="00A720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987</Words>
  <Characters>5627</Characters>
  <Application>Microsoft Office Word</Application>
  <DocSecurity>0</DocSecurity>
  <Lines>46</Lines>
  <Paragraphs>13</Paragraphs>
  <ScaleCrop>false</ScaleCrop>
  <Company>CtrlSoft</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2020-03-23T15:49:00Z</dcterms:created>
  <dcterms:modified xsi:type="dcterms:W3CDTF">2020-03-23T15:50:00Z</dcterms:modified>
</cp:coreProperties>
</file>