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66" w:rsidRPr="00427C8C" w:rsidRDefault="00CD0F66" w:rsidP="00CD0F66">
      <w:pPr>
        <w:bidi/>
        <w:ind w:firstLine="571"/>
        <w:jc w:val="mediumKashida"/>
        <w:rPr>
          <w:rFonts w:ascii="Arial" w:hAnsi="Arial" w:cs="Arial"/>
          <w:sz w:val="28"/>
          <w:szCs w:val="28"/>
          <w:lang w:bidi="ar-IQ"/>
        </w:rPr>
      </w:pPr>
      <w:r w:rsidRPr="00C22EE8">
        <w:rPr>
          <w:rFonts w:ascii="Arial" w:hAnsi="Arial" w:cs="Arial" w:hint="cs"/>
          <w:b/>
          <w:bCs/>
          <w:sz w:val="28"/>
          <w:szCs w:val="28"/>
          <w:rtl/>
          <w:lang w:bidi="ar-IQ"/>
        </w:rPr>
        <w:t>ثالثا : موقف المحكمة الإدارية العليا المصرية من م</w:t>
      </w:r>
      <w:r>
        <w:rPr>
          <w:rFonts w:ascii="Arial" w:hAnsi="Arial" w:cs="Arial" w:hint="cs"/>
          <w:b/>
          <w:bCs/>
          <w:sz w:val="28"/>
          <w:szCs w:val="28"/>
          <w:rtl/>
          <w:lang w:bidi="ar-IQ"/>
        </w:rPr>
        <w:t>ُ</w:t>
      </w:r>
      <w:r w:rsidRPr="00C22EE8">
        <w:rPr>
          <w:rFonts w:ascii="Arial" w:hAnsi="Arial" w:cs="Arial" w:hint="cs"/>
          <w:b/>
          <w:bCs/>
          <w:sz w:val="28"/>
          <w:szCs w:val="28"/>
          <w:rtl/>
          <w:lang w:bidi="ar-IQ"/>
        </w:rPr>
        <w:t>لحقات الموازنة</w:t>
      </w:r>
    </w:p>
    <w:p w:rsidR="00CD0F66" w:rsidRDefault="00CD0F66" w:rsidP="00CD0F66">
      <w:pPr>
        <w:bidi/>
        <w:ind w:firstLine="571"/>
        <w:jc w:val="mediumKashida"/>
        <w:rPr>
          <w:rFonts w:ascii="Arial" w:hAnsi="Arial" w:cs="Arial"/>
          <w:b/>
          <w:bCs/>
          <w:sz w:val="28"/>
          <w:szCs w:val="28"/>
          <w:rtl/>
          <w:lang w:bidi="ar-IQ"/>
        </w:rPr>
      </w:pPr>
      <w:r>
        <w:rPr>
          <w:rFonts w:ascii="Arial" w:hAnsi="Arial" w:cs="Arial" w:hint="cs"/>
          <w:sz w:val="28"/>
          <w:szCs w:val="28"/>
          <w:rtl/>
          <w:lang w:bidi="ar-IQ"/>
        </w:rPr>
        <w:t>أصدرت المحكمة الإدارية العليا المصرية حكما قالت فيه : ( وفقا لما جرى به القضاء الإداري في مجال تكييف طبيعة قانون الموازنة العامة على أنه في مرتبة القانون من حيث الشكل ، ومن صنف الأعمال الإدارية من حيث المحتوى والموضوع ، فإنه ينبني على ذلك أنه ولئن كانت الموازنة العامة للدولة تصدر بقانون إلا أنه لا يسوغ لها مخالفة أي قانون قائم ..... وقيام وزارة المالية بتقسيم الديوان العام في موازنتها الى ثلاثة كوادر قائمة بذاتها لا يستند الى أساس سليم من القانون ، وأن الوضع المالي لهذه الكوادر أنها ثابتة بديوان عام وزارة ، ومن ثم فإنها لا تعدو أن تكون قطاعات داخل الديوان العام الذي يعتبر وحدة واحدة ، وأنه لا يجوز الإستناد الى صدور قانون الموازنة الذي قرر لكل كادر من الكوادر الثلاثة المشار إليها اقدمية مسبقة عن اقدمية العاملين بالكادرات الأخرى ، ذلك لأن هذا القانون لا يجوز له أن يخالف الأحكام القانونية الواردة بقانون نظام العاملين المدنيين بالدولة رقم 47 لسنة 1978 ... )</w:t>
      </w:r>
      <w:r w:rsidRPr="00427C8C">
        <w:rPr>
          <w:rFonts w:ascii="Arial" w:hAnsi="Arial" w:cs="Arial" w:hint="cs"/>
          <w:sz w:val="28"/>
          <w:szCs w:val="28"/>
          <w:vertAlign w:val="superscript"/>
          <w:rtl/>
          <w:lang w:bidi="ar-IQ"/>
        </w:rPr>
        <w:t>(</w:t>
      </w:r>
      <w:r w:rsidRPr="00427C8C">
        <w:rPr>
          <w:rStyle w:val="FootnoteReference"/>
          <w:rFonts w:ascii="Arial" w:hAnsi="Arial" w:cs="Arial"/>
          <w:sz w:val="28"/>
          <w:szCs w:val="28"/>
          <w:rtl/>
          <w:lang w:bidi="ar-IQ"/>
        </w:rPr>
        <w:footnoteReference w:id="1"/>
      </w:r>
      <w:r w:rsidRPr="00427C8C">
        <w:rPr>
          <w:rFonts w:ascii="Arial" w:hAnsi="Arial" w:cs="Arial" w:hint="cs"/>
          <w:sz w:val="28"/>
          <w:szCs w:val="28"/>
          <w:vertAlign w:val="superscript"/>
          <w:rtl/>
          <w:lang w:bidi="ar-IQ"/>
        </w:rPr>
        <w:t>)</w:t>
      </w:r>
      <w:r>
        <w:rPr>
          <w:rFonts w:ascii="Arial" w:hAnsi="Arial" w:cs="Arial" w:hint="cs"/>
          <w:b/>
          <w:bCs/>
          <w:sz w:val="28"/>
          <w:szCs w:val="28"/>
          <w:rtl/>
          <w:lang w:bidi="ar-IQ"/>
        </w:rPr>
        <w:t xml:space="preserve"> .</w:t>
      </w:r>
    </w:p>
    <w:p w:rsidR="00CD0F66" w:rsidRDefault="00CD0F66" w:rsidP="00CD0F66">
      <w:pPr>
        <w:bidi/>
        <w:ind w:firstLine="571"/>
        <w:jc w:val="mediumKashida"/>
        <w:rPr>
          <w:rFonts w:ascii="Arial" w:hAnsi="Arial" w:cs="Arial"/>
          <w:sz w:val="28"/>
          <w:szCs w:val="28"/>
          <w:rtl/>
          <w:lang w:bidi="ar-IQ"/>
        </w:rPr>
      </w:pPr>
      <w:r w:rsidRPr="002E38E0">
        <w:rPr>
          <w:rFonts w:ascii="Arial" w:hAnsi="Arial" w:cs="Arial" w:hint="cs"/>
          <w:sz w:val="28"/>
          <w:szCs w:val="28"/>
          <w:rtl/>
          <w:lang w:bidi="ar-IQ"/>
        </w:rPr>
        <w:t>يتضح</w:t>
      </w:r>
      <w:r>
        <w:rPr>
          <w:rFonts w:ascii="Arial" w:hAnsi="Arial" w:cs="Arial" w:hint="cs"/>
          <w:sz w:val="28"/>
          <w:szCs w:val="28"/>
          <w:rtl/>
          <w:lang w:bidi="ar-IQ"/>
        </w:rPr>
        <w:t xml:space="preserve"> من الحكم المتقدم أن المحكمة الإدارية العليا قضت بعدم جواز إحتواء قانون الموازنة على نصوص من شأنها تعديل قوانين أخرى إستنادا إلى أن قانون الموازنة يعد من الناحية الموضوعية عملا إداريا ، فهو بهذا الوصف لا يقوى أن يمس القوانين الأخرى إلغاء أو تعديلا ، والفكرة التي أستندت إليها المحكمة ، فكرة خاطئة ، في رأينا ؛ لأن الموازنة كما أوضحنا آنفا ، لا تخرج من حيث طبيعتها القانونية </w:t>
      </w:r>
      <w:r w:rsidRPr="002E38E0">
        <w:rPr>
          <w:rFonts w:ascii="Arial" w:hAnsi="Arial" w:cs="Arial" w:hint="cs"/>
          <w:sz w:val="28"/>
          <w:szCs w:val="28"/>
          <w:rtl/>
          <w:lang w:bidi="ar-IQ"/>
        </w:rPr>
        <w:t xml:space="preserve"> </w:t>
      </w:r>
      <w:r>
        <w:rPr>
          <w:rFonts w:ascii="Arial" w:hAnsi="Arial" w:cs="Arial" w:hint="cs"/>
          <w:sz w:val="28"/>
          <w:szCs w:val="28"/>
          <w:rtl/>
          <w:lang w:bidi="ar-IQ"/>
        </w:rPr>
        <w:t>عن كونها عملا إداريا محضا أو قانونا محضا حسب الأداة  القانونية لصدورها ، فالموازنة لا تحمل وصفا مزدوجا ( قانون من الناحية الشكلية ، وعمل إداري من الناحية الموضوعية ) . وكان بإمكان المحكمة المذكورة ، أن تستند في حكمها إلى حجة أكثر مقبولية وهي أن قانون الموازنة يعد من القوانين ذات الموضوعات المتخصصة يتغيا تنظيم مالية الدولة بشقيها الإيرادي والإنفاقي عن مدة مقبلة ، فلا يجوز أن تلحق به نصوصا تبعده عن موضوعه المحدد أو غايته المخصصة .</w:t>
      </w:r>
    </w:p>
    <w:p w:rsidR="00CD0F66" w:rsidRPr="002E38E0" w:rsidRDefault="00CD0F66" w:rsidP="00CD0F66">
      <w:pPr>
        <w:bidi/>
        <w:jc w:val="mediumKashida"/>
        <w:rPr>
          <w:rFonts w:ascii="Arial" w:hAnsi="Arial" w:cs="Arial"/>
          <w:sz w:val="28"/>
          <w:szCs w:val="28"/>
          <w:rtl/>
          <w:lang w:bidi="ar-IQ"/>
        </w:rPr>
      </w:pPr>
    </w:p>
    <w:p w:rsidR="00CD0F66" w:rsidRDefault="00CD0F66" w:rsidP="00CD0F66">
      <w:pPr>
        <w:bidi/>
        <w:ind w:firstLine="4"/>
        <w:jc w:val="center"/>
        <w:rPr>
          <w:rFonts w:ascii="Arial" w:hAnsi="Arial" w:cs="Arial"/>
          <w:b/>
          <w:bCs/>
          <w:sz w:val="32"/>
          <w:szCs w:val="32"/>
          <w:rtl/>
          <w:lang w:bidi="ar-IQ"/>
        </w:rPr>
      </w:pPr>
      <w:r>
        <w:rPr>
          <w:rFonts w:ascii="Arial" w:hAnsi="Arial" w:cs="Arial" w:hint="cs"/>
          <w:b/>
          <w:bCs/>
          <w:sz w:val="32"/>
          <w:szCs w:val="32"/>
          <w:rtl/>
          <w:lang w:bidi="ar-IQ"/>
        </w:rPr>
        <w:t>المبحث الثالث</w:t>
      </w:r>
    </w:p>
    <w:p w:rsidR="00CD0F66" w:rsidRDefault="00CD0F66" w:rsidP="00CD0F66">
      <w:pPr>
        <w:bidi/>
        <w:ind w:firstLine="4"/>
        <w:jc w:val="center"/>
        <w:rPr>
          <w:rFonts w:ascii="Arial" w:hAnsi="Arial" w:cs="Arial"/>
          <w:b/>
          <w:bCs/>
          <w:sz w:val="32"/>
          <w:szCs w:val="32"/>
          <w:rtl/>
          <w:lang w:bidi="ar-IQ"/>
        </w:rPr>
      </w:pPr>
      <w:r>
        <w:rPr>
          <w:rFonts w:ascii="Arial" w:hAnsi="Arial" w:cs="Arial" w:hint="cs"/>
          <w:b/>
          <w:bCs/>
          <w:sz w:val="32"/>
          <w:szCs w:val="32"/>
          <w:rtl/>
          <w:lang w:bidi="ar-IQ"/>
        </w:rPr>
        <w:t>ظاهرة المُلحقات في الموازنات العامة العراقية</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لا يجد القارئ عنتا أو إرهاقا في ملاحظة ظاهرة المُلحقات في الموازنات العامة العراقية سيما الصادرة بعد عام 2003 ، إذ حفلت تلك الموازنات بأحكام دخيلة عليها ، وبعيدة عن جوهرها مما ولد آثارا سلبية على مالية الدولة العراقية ، وسوف نسلط الضوء في هذا المبحث </w:t>
      </w:r>
      <w:r>
        <w:rPr>
          <w:rFonts w:ascii="Arial" w:hAnsi="Arial" w:cs="Arial" w:hint="cs"/>
          <w:sz w:val="28"/>
          <w:szCs w:val="28"/>
          <w:rtl/>
          <w:lang w:bidi="ar-IQ"/>
        </w:rPr>
        <w:lastRenderedPageBreak/>
        <w:t>على توسع المشرع العراقي في الإعتماد على المُلحقات ، وموقف المحكمة الإتحادية العليا من هذا التوسع ، والآثار السلبية التي نجمت عنه  حسب التفصيل التالي :</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المطلب الأول : مغالاة المشرع العراقي في الإعتماد على مُلحقات الموازنة .</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المطلب الثاني : موقف المحكمة الإتحادية العليا من مُلحقات الموازنة .</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المطلب الثالث : الآثار السلبية لمُلحقات الموازنة العامة العراقية .</w:t>
      </w:r>
    </w:p>
    <w:p w:rsidR="00CD0F66" w:rsidRPr="00415806" w:rsidRDefault="00CD0F66" w:rsidP="00CD0F66">
      <w:pPr>
        <w:bidi/>
        <w:ind w:firstLine="4"/>
        <w:jc w:val="center"/>
        <w:rPr>
          <w:rFonts w:ascii="Arial" w:hAnsi="Arial" w:cs="Arial"/>
          <w:b/>
          <w:bCs/>
          <w:sz w:val="32"/>
          <w:szCs w:val="32"/>
          <w:rtl/>
          <w:lang w:bidi="ar-IQ"/>
        </w:rPr>
      </w:pPr>
      <w:r w:rsidRPr="00415806">
        <w:rPr>
          <w:rFonts w:ascii="Arial" w:hAnsi="Arial" w:cs="Arial" w:hint="cs"/>
          <w:b/>
          <w:bCs/>
          <w:sz w:val="32"/>
          <w:szCs w:val="32"/>
          <w:rtl/>
          <w:lang w:bidi="ar-IQ"/>
        </w:rPr>
        <w:t>المطلب الأول</w:t>
      </w:r>
    </w:p>
    <w:p w:rsidR="00CD0F66" w:rsidRPr="00415806" w:rsidRDefault="00CD0F66" w:rsidP="00CD0F66">
      <w:pPr>
        <w:bidi/>
        <w:ind w:firstLine="4"/>
        <w:jc w:val="center"/>
        <w:rPr>
          <w:rFonts w:ascii="Arial" w:hAnsi="Arial" w:cs="Arial"/>
          <w:b/>
          <w:bCs/>
          <w:sz w:val="32"/>
          <w:szCs w:val="32"/>
          <w:rtl/>
          <w:lang w:bidi="ar-IQ"/>
        </w:rPr>
      </w:pPr>
      <w:r w:rsidRPr="00415806">
        <w:rPr>
          <w:rFonts w:ascii="Arial" w:hAnsi="Arial" w:cs="Arial" w:hint="cs"/>
          <w:b/>
          <w:bCs/>
          <w:sz w:val="32"/>
          <w:szCs w:val="32"/>
          <w:rtl/>
          <w:lang w:bidi="ar-IQ"/>
        </w:rPr>
        <w:t>مغالاة المشرع العراقي في الإعتماد على م</w:t>
      </w:r>
      <w:r>
        <w:rPr>
          <w:rFonts w:ascii="Arial" w:hAnsi="Arial" w:cs="Arial" w:hint="cs"/>
          <w:b/>
          <w:bCs/>
          <w:sz w:val="32"/>
          <w:szCs w:val="32"/>
          <w:rtl/>
          <w:lang w:bidi="ar-IQ"/>
        </w:rPr>
        <w:t>ُ</w:t>
      </w:r>
      <w:r w:rsidRPr="00415806">
        <w:rPr>
          <w:rFonts w:ascii="Arial" w:hAnsi="Arial" w:cs="Arial" w:hint="cs"/>
          <w:b/>
          <w:bCs/>
          <w:sz w:val="32"/>
          <w:szCs w:val="32"/>
          <w:rtl/>
          <w:lang w:bidi="ar-IQ"/>
        </w:rPr>
        <w:t>لحقات الموازنة</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إزداد عدد المُلحقات في الموازنات العراقية حتى بات وجودها ظاهرة مالية لا تخطؤها العين . ولعل السؤال الذي يطرح هنا ما أنواع الأحكام التي ألحقها المشرع بالموازنات السنوية ؟ وما أسباب إفراط المشرع في الإعتماد على المُلحقات ؟ هذا ما سوف نجيب عنه في الفرعين التاليين :</w:t>
      </w:r>
    </w:p>
    <w:p w:rsidR="00CD0F66" w:rsidRDefault="00CD0F66" w:rsidP="00CD0F66">
      <w:pPr>
        <w:bidi/>
        <w:ind w:firstLine="571"/>
        <w:jc w:val="mediumKashida"/>
        <w:rPr>
          <w:rFonts w:ascii="Arial" w:hAnsi="Arial" w:cs="Arial"/>
          <w:sz w:val="28"/>
          <w:szCs w:val="28"/>
          <w:rtl/>
          <w:lang w:bidi="ar-IQ"/>
        </w:rPr>
      </w:pP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الفرع الأول : أنواع المُلحقات في الموازنات العامة العراقية .</w:t>
      </w:r>
    </w:p>
    <w:p w:rsidR="00CD0F66" w:rsidRDefault="00CD0F66" w:rsidP="00CD0F66">
      <w:pPr>
        <w:bidi/>
        <w:ind w:firstLine="571"/>
        <w:rPr>
          <w:rFonts w:ascii="Arial" w:hAnsi="Arial" w:cs="Arial"/>
          <w:sz w:val="28"/>
          <w:szCs w:val="28"/>
          <w:rtl/>
          <w:lang w:bidi="ar-IQ"/>
        </w:rPr>
      </w:pPr>
      <w:r>
        <w:rPr>
          <w:rFonts w:ascii="Arial" w:hAnsi="Arial" w:cs="Arial" w:hint="cs"/>
          <w:sz w:val="28"/>
          <w:szCs w:val="28"/>
          <w:rtl/>
          <w:lang w:bidi="ar-IQ"/>
        </w:rPr>
        <w:t>الفرع الثاني :</w:t>
      </w:r>
      <w:r w:rsidRPr="00E52FBA">
        <w:rPr>
          <w:rFonts w:ascii="Arial" w:hAnsi="Arial" w:cs="Arial" w:hint="cs"/>
          <w:b/>
          <w:bCs/>
          <w:sz w:val="32"/>
          <w:szCs w:val="32"/>
          <w:rtl/>
          <w:lang w:bidi="ar-IQ"/>
        </w:rPr>
        <w:t xml:space="preserve"> </w:t>
      </w:r>
      <w:r w:rsidRPr="00E52FBA">
        <w:rPr>
          <w:rFonts w:ascii="Arial" w:hAnsi="Arial" w:cs="Arial" w:hint="cs"/>
          <w:sz w:val="28"/>
          <w:szCs w:val="28"/>
          <w:rtl/>
          <w:lang w:bidi="ar-IQ"/>
        </w:rPr>
        <w:t>أسباب إفراط المشرع العراقي بالإعتماد على م</w:t>
      </w:r>
      <w:r>
        <w:rPr>
          <w:rFonts w:ascii="Arial" w:hAnsi="Arial" w:cs="Arial" w:hint="cs"/>
          <w:sz w:val="28"/>
          <w:szCs w:val="28"/>
          <w:rtl/>
          <w:lang w:bidi="ar-IQ"/>
        </w:rPr>
        <w:t>ُ</w:t>
      </w:r>
      <w:r w:rsidRPr="00E52FBA">
        <w:rPr>
          <w:rFonts w:ascii="Arial" w:hAnsi="Arial" w:cs="Arial" w:hint="cs"/>
          <w:sz w:val="28"/>
          <w:szCs w:val="28"/>
          <w:rtl/>
          <w:lang w:bidi="ar-IQ"/>
        </w:rPr>
        <w:t>لحقات الموازنات</w:t>
      </w:r>
      <w:r>
        <w:rPr>
          <w:rFonts w:ascii="Arial" w:hAnsi="Arial" w:cs="Arial" w:hint="cs"/>
          <w:sz w:val="28"/>
          <w:szCs w:val="28"/>
          <w:rtl/>
          <w:lang w:bidi="ar-IQ"/>
        </w:rPr>
        <w:t xml:space="preserve"> .</w:t>
      </w:r>
    </w:p>
    <w:p w:rsidR="00CD0F66" w:rsidRDefault="00CD0F66" w:rsidP="00CD0F66">
      <w:pPr>
        <w:jc w:val="mediumKashida"/>
        <w:rPr>
          <w:rFonts w:ascii="Arial" w:hAnsi="Arial" w:cs="Arial"/>
          <w:sz w:val="28"/>
          <w:szCs w:val="28"/>
          <w:rtl/>
          <w:lang w:bidi="ar-IQ"/>
        </w:rPr>
      </w:pPr>
    </w:p>
    <w:p w:rsidR="00CD0F66" w:rsidRDefault="00CD0F66" w:rsidP="00CD0F66">
      <w:pPr>
        <w:bidi/>
        <w:ind w:firstLine="4"/>
        <w:jc w:val="center"/>
        <w:rPr>
          <w:rFonts w:ascii="Arial" w:hAnsi="Arial" w:cs="Arial"/>
          <w:b/>
          <w:bCs/>
          <w:sz w:val="32"/>
          <w:szCs w:val="32"/>
          <w:rtl/>
          <w:lang w:bidi="ar-IQ"/>
        </w:rPr>
      </w:pPr>
      <w:r>
        <w:rPr>
          <w:rFonts w:ascii="Arial" w:hAnsi="Arial" w:cs="Arial" w:hint="cs"/>
          <w:b/>
          <w:bCs/>
          <w:sz w:val="32"/>
          <w:szCs w:val="32"/>
          <w:rtl/>
          <w:lang w:bidi="ar-IQ"/>
        </w:rPr>
        <w:t>الفرع الأول</w:t>
      </w:r>
    </w:p>
    <w:p w:rsidR="00CD0F66" w:rsidRDefault="00CD0F66" w:rsidP="00CD0F66">
      <w:pPr>
        <w:bidi/>
        <w:ind w:firstLine="4"/>
        <w:jc w:val="center"/>
        <w:rPr>
          <w:rFonts w:ascii="Arial" w:hAnsi="Arial" w:cs="Arial"/>
          <w:b/>
          <w:bCs/>
          <w:sz w:val="32"/>
          <w:szCs w:val="32"/>
          <w:rtl/>
          <w:lang w:bidi="ar-IQ"/>
        </w:rPr>
      </w:pPr>
      <w:r>
        <w:rPr>
          <w:rFonts w:ascii="Arial" w:hAnsi="Arial" w:cs="Arial" w:hint="cs"/>
          <w:b/>
          <w:bCs/>
          <w:sz w:val="32"/>
          <w:szCs w:val="32"/>
          <w:rtl/>
          <w:lang w:bidi="ar-IQ"/>
        </w:rPr>
        <w:t>أنواع المُلحقات في الموازنات العامة العراقية</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من العسير على أي باحث استقصاء المُلحقات جميعها الواردة في الموازنات العراقية ؛ وذلك بسبب كثرة تلك المُلحقات ، وتنوعها ، واختلاف مضمونها . لكن يمكن لنا أن نقدم صورة عنها من خلال ردها إلى ثلاثة أنواع : مالية ، وإدارية ، وتجارية . وسوف نقف على الأنواع المذكورة في البيان التالي :</w:t>
      </w:r>
    </w:p>
    <w:p w:rsidR="00CD0F66" w:rsidRDefault="00CD0F66" w:rsidP="00CD0F66">
      <w:pPr>
        <w:bidi/>
        <w:ind w:firstLine="571"/>
        <w:jc w:val="mediumKashida"/>
        <w:rPr>
          <w:rFonts w:ascii="Arial" w:hAnsi="Arial" w:cs="Arial"/>
          <w:b/>
          <w:bCs/>
          <w:sz w:val="28"/>
          <w:szCs w:val="28"/>
          <w:rtl/>
          <w:lang w:bidi="ar-IQ"/>
        </w:rPr>
      </w:pPr>
      <w:r w:rsidRPr="007575C7">
        <w:rPr>
          <w:rFonts w:ascii="Arial" w:hAnsi="Arial" w:cs="Arial" w:hint="cs"/>
          <w:b/>
          <w:bCs/>
          <w:sz w:val="28"/>
          <w:szCs w:val="28"/>
          <w:rtl/>
          <w:lang w:bidi="ar-IQ"/>
        </w:rPr>
        <w:t>أولا : الأحكام المالية الم</w:t>
      </w:r>
      <w:r>
        <w:rPr>
          <w:rFonts w:ascii="Arial" w:hAnsi="Arial" w:cs="Arial" w:hint="cs"/>
          <w:b/>
          <w:bCs/>
          <w:sz w:val="28"/>
          <w:szCs w:val="28"/>
          <w:rtl/>
          <w:lang w:bidi="ar-IQ"/>
        </w:rPr>
        <w:t>ُ</w:t>
      </w:r>
      <w:r w:rsidRPr="007575C7">
        <w:rPr>
          <w:rFonts w:ascii="Arial" w:hAnsi="Arial" w:cs="Arial" w:hint="cs"/>
          <w:b/>
          <w:bCs/>
          <w:sz w:val="28"/>
          <w:szCs w:val="28"/>
          <w:rtl/>
          <w:lang w:bidi="ar-IQ"/>
        </w:rPr>
        <w:t>لحقة بالموازنات العامة العراقية</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لا تنطوي الأحكام المالية التي تلحق بالموازنة العامة على تقدير لإيرادات الدولة ونفقاتها لكنها تتضمن فرض لأعباء مالية جديدة ، أو زيادة في أعباء مالية قائمة ، أو تخفيض أو أعفاء منها . وقد وردت الأحكام المالية بالمعنى المتقدم في قوانين موازنات متعددة لكن المشرع </w:t>
      </w:r>
      <w:r>
        <w:rPr>
          <w:rFonts w:ascii="Arial" w:hAnsi="Arial" w:cs="Arial" w:hint="cs"/>
          <w:sz w:val="28"/>
          <w:szCs w:val="28"/>
          <w:rtl/>
          <w:lang w:bidi="ar-IQ"/>
        </w:rPr>
        <w:lastRenderedPageBreak/>
        <w:t>العراقي أضاف إليها أحكاما أخرى أبتغى من ورائها ترشيد النفقات العامة للدولة . وسوف نستعرض أمثلة على الأحكام المذكورة في البيان التالي :</w:t>
      </w:r>
    </w:p>
    <w:p w:rsidR="00CD0F66" w:rsidRPr="00FE1FB0" w:rsidRDefault="00CD0F66" w:rsidP="00CD0F66">
      <w:pPr>
        <w:bidi/>
        <w:ind w:firstLine="571"/>
        <w:jc w:val="mediumKashida"/>
        <w:rPr>
          <w:rFonts w:ascii="Arial" w:hAnsi="Arial" w:cs="Arial"/>
          <w:b/>
          <w:bCs/>
          <w:sz w:val="28"/>
          <w:szCs w:val="28"/>
          <w:rtl/>
          <w:lang w:bidi="ar-IQ"/>
        </w:rPr>
      </w:pPr>
      <w:r w:rsidRPr="00FE1FB0">
        <w:rPr>
          <w:rFonts w:ascii="Arial" w:hAnsi="Arial" w:cs="Arial" w:hint="cs"/>
          <w:b/>
          <w:bCs/>
          <w:sz w:val="28"/>
          <w:szCs w:val="28"/>
          <w:rtl/>
          <w:lang w:bidi="ar-IQ"/>
        </w:rPr>
        <w:t xml:space="preserve">1 </w:t>
      </w:r>
      <w:r w:rsidRPr="00FE1FB0">
        <w:rPr>
          <w:rFonts w:ascii="Arial" w:hAnsi="Arial" w:cs="Arial"/>
          <w:b/>
          <w:bCs/>
          <w:sz w:val="28"/>
          <w:szCs w:val="28"/>
          <w:rtl/>
          <w:lang w:bidi="ar-IQ"/>
        </w:rPr>
        <w:t>–</w:t>
      </w:r>
      <w:r w:rsidRPr="00FE1FB0">
        <w:rPr>
          <w:rFonts w:ascii="Arial" w:hAnsi="Arial" w:cs="Arial" w:hint="cs"/>
          <w:b/>
          <w:bCs/>
          <w:sz w:val="28"/>
          <w:szCs w:val="28"/>
          <w:rtl/>
          <w:lang w:bidi="ar-IQ"/>
        </w:rPr>
        <w:t xml:space="preserve"> الم</w:t>
      </w:r>
      <w:r>
        <w:rPr>
          <w:rFonts w:ascii="Arial" w:hAnsi="Arial" w:cs="Arial" w:hint="cs"/>
          <w:b/>
          <w:bCs/>
          <w:sz w:val="28"/>
          <w:szCs w:val="28"/>
          <w:rtl/>
          <w:lang w:bidi="ar-IQ"/>
        </w:rPr>
        <w:t>ُ</w:t>
      </w:r>
      <w:r w:rsidRPr="00FE1FB0">
        <w:rPr>
          <w:rFonts w:ascii="Arial" w:hAnsi="Arial" w:cs="Arial" w:hint="cs"/>
          <w:b/>
          <w:bCs/>
          <w:sz w:val="28"/>
          <w:szCs w:val="28"/>
          <w:rtl/>
          <w:lang w:bidi="ar-IQ"/>
        </w:rPr>
        <w:t xml:space="preserve">لحقات التي تتضمن فرض أعباء مالية جديدة </w:t>
      </w:r>
    </w:p>
    <w:p w:rsidR="00CD0F66" w:rsidRPr="007575C7"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دأب المشرع العراقي على استحداث ضرائب جديدة ، وفرضها في صلب قوانين الموازنات العامة . وشمل هذا الإستحداث الضرائب بنوعيها : المباشرة ، وغير المباشرة . ومن أمثلة النوع الأول أستقطاع ما نسبته</w:t>
      </w:r>
      <w:r>
        <w:rPr>
          <w:rFonts w:ascii="Arial" w:hAnsi="Arial" w:cs="Arial"/>
          <w:sz w:val="28"/>
          <w:szCs w:val="28"/>
          <w:lang w:bidi="ar-IQ"/>
        </w:rPr>
        <w:t xml:space="preserve"> </w:t>
      </w:r>
      <w:r>
        <w:rPr>
          <w:rFonts w:ascii="Arial" w:hAnsi="Arial" w:cs="Arial" w:hint="cs"/>
          <w:sz w:val="28"/>
          <w:szCs w:val="28"/>
          <w:rtl/>
          <w:lang w:bidi="ar-IQ"/>
        </w:rPr>
        <w:t>( 3,8 ) من مجموع الرواتب والمخصصات لموظفي الدولة والقطاع العام والمتقاعدين كافة</w:t>
      </w:r>
      <w:r w:rsidRPr="002209DB">
        <w:rPr>
          <w:rFonts w:ascii="Arial" w:hAnsi="Arial" w:cs="Arial" w:hint="cs"/>
          <w:sz w:val="28"/>
          <w:szCs w:val="28"/>
          <w:vertAlign w:val="superscript"/>
          <w:rtl/>
          <w:lang w:bidi="ar-IQ"/>
        </w:rPr>
        <w:t>(</w:t>
      </w:r>
      <w:r w:rsidRPr="002209DB">
        <w:rPr>
          <w:rStyle w:val="FootnoteReference"/>
          <w:rFonts w:ascii="Arial" w:hAnsi="Arial" w:cs="Arial"/>
          <w:sz w:val="28"/>
          <w:szCs w:val="28"/>
          <w:rtl/>
          <w:lang w:bidi="ar-IQ"/>
        </w:rPr>
        <w:footnoteReference w:id="2"/>
      </w:r>
      <w:r w:rsidRPr="002209DB">
        <w:rPr>
          <w:rFonts w:ascii="Arial" w:hAnsi="Arial" w:cs="Arial" w:hint="cs"/>
          <w:sz w:val="28"/>
          <w:szCs w:val="28"/>
          <w:vertAlign w:val="superscript"/>
          <w:rtl/>
          <w:lang w:bidi="ar-IQ"/>
        </w:rPr>
        <w:t>)</w:t>
      </w:r>
      <w:r>
        <w:rPr>
          <w:rFonts w:ascii="Arial" w:hAnsi="Arial" w:cs="Arial" w:hint="cs"/>
          <w:sz w:val="28"/>
          <w:szCs w:val="28"/>
          <w:rtl/>
          <w:lang w:bidi="ar-IQ"/>
        </w:rPr>
        <w:t>. ومن أمثلة النوع الثاني : فرض ضريبة مبيعات على بطاقة تعبئة الهاتف النقال ، وشبكة الأنترنت بنسبة 20% من قيمة الكارت</w:t>
      </w:r>
      <w:r w:rsidRPr="00A40622">
        <w:rPr>
          <w:rFonts w:ascii="Arial" w:hAnsi="Arial" w:cs="Arial" w:hint="cs"/>
          <w:sz w:val="28"/>
          <w:szCs w:val="28"/>
          <w:vertAlign w:val="superscript"/>
          <w:rtl/>
          <w:lang w:bidi="ar-IQ"/>
        </w:rPr>
        <w:t>(</w:t>
      </w:r>
      <w:r w:rsidRPr="00A40622">
        <w:rPr>
          <w:rStyle w:val="FootnoteReference"/>
          <w:rFonts w:ascii="Arial" w:hAnsi="Arial" w:cs="Arial"/>
          <w:sz w:val="28"/>
          <w:szCs w:val="28"/>
          <w:rtl/>
          <w:lang w:bidi="ar-IQ"/>
        </w:rPr>
        <w:footnoteReference w:id="3"/>
      </w:r>
      <w:r w:rsidRPr="00A40622">
        <w:rPr>
          <w:rFonts w:ascii="Arial" w:hAnsi="Arial" w:cs="Arial" w:hint="cs"/>
          <w:sz w:val="28"/>
          <w:szCs w:val="28"/>
          <w:vertAlign w:val="superscript"/>
          <w:rtl/>
          <w:lang w:bidi="ar-IQ"/>
        </w:rPr>
        <w:t xml:space="preserve"> )</w:t>
      </w:r>
      <w:r w:rsidRPr="00A40622">
        <w:rPr>
          <w:rFonts w:ascii="Arial" w:hAnsi="Arial" w:cs="Arial" w:hint="cs"/>
          <w:sz w:val="28"/>
          <w:szCs w:val="28"/>
          <w:rtl/>
          <w:lang w:bidi="ar-IQ"/>
        </w:rPr>
        <w:t xml:space="preserve">.     </w:t>
      </w:r>
      <w:r w:rsidRPr="00FE1FB0">
        <w:rPr>
          <w:rFonts w:ascii="Arial" w:hAnsi="Arial" w:cs="Arial" w:hint="cs"/>
          <w:sz w:val="28"/>
          <w:szCs w:val="28"/>
          <w:rtl/>
          <w:lang w:bidi="ar-IQ"/>
        </w:rPr>
        <w:t xml:space="preserve"> </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إن المشرع لم يكتف بفرض ضرائب جديدة بل فرض رسوما مالية في قوانين الموازنات . ومن الأمثلة التي تذكر هنا : فرض رسم المطار على تذاكر السفر</w:t>
      </w:r>
      <w:r w:rsidRPr="008337B4">
        <w:rPr>
          <w:rFonts w:ascii="Arial" w:hAnsi="Arial" w:cs="Arial" w:hint="cs"/>
          <w:sz w:val="28"/>
          <w:szCs w:val="28"/>
          <w:vertAlign w:val="superscript"/>
          <w:rtl/>
          <w:lang w:bidi="ar-IQ"/>
        </w:rPr>
        <w:t>(</w:t>
      </w:r>
      <w:r w:rsidRPr="008337B4">
        <w:rPr>
          <w:rStyle w:val="FootnoteReference"/>
          <w:rFonts w:ascii="Arial" w:hAnsi="Arial" w:cs="Arial"/>
          <w:sz w:val="28"/>
          <w:szCs w:val="28"/>
          <w:rtl/>
          <w:lang w:bidi="ar-IQ"/>
        </w:rPr>
        <w:footnoteReference w:id="4"/>
      </w:r>
      <w:r w:rsidRPr="008337B4">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w:t>
      </w:r>
    </w:p>
    <w:p w:rsidR="00CD0F66" w:rsidRDefault="00CD0F66" w:rsidP="00CD0F66">
      <w:pPr>
        <w:bidi/>
        <w:ind w:firstLine="571"/>
        <w:jc w:val="mediumKashida"/>
        <w:rPr>
          <w:rFonts w:ascii="Arial" w:hAnsi="Arial" w:cs="Arial"/>
          <w:sz w:val="28"/>
          <w:szCs w:val="28"/>
          <w:rtl/>
          <w:lang w:bidi="ar-IQ"/>
        </w:rPr>
      </w:pPr>
      <w:r w:rsidRPr="00FE1FB0">
        <w:rPr>
          <w:rFonts w:ascii="Arial" w:hAnsi="Arial" w:cs="Arial" w:hint="cs"/>
          <w:b/>
          <w:bCs/>
          <w:sz w:val="28"/>
          <w:szCs w:val="28"/>
          <w:rtl/>
          <w:lang w:bidi="ar-IQ"/>
        </w:rPr>
        <w:t xml:space="preserve">2 </w:t>
      </w:r>
      <w:r w:rsidRPr="00FE1FB0">
        <w:rPr>
          <w:rFonts w:ascii="Arial" w:hAnsi="Arial" w:cs="Arial"/>
          <w:b/>
          <w:bCs/>
          <w:sz w:val="28"/>
          <w:szCs w:val="28"/>
          <w:rtl/>
          <w:lang w:bidi="ar-IQ"/>
        </w:rPr>
        <w:t>–</w:t>
      </w:r>
      <w:r w:rsidRPr="00FE1FB0">
        <w:rPr>
          <w:rFonts w:ascii="Arial" w:hAnsi="Arial" w:cs="Arial" w:hint="cs"/>
          <w:b/>
          <w:bCs/>
          <w:sz w:val="28"/>
          <w:szCs w:val="28"/>
          <w:rtl/>
          <w:lang w:bidi="ar-IQ"/>
        </w:rPr>
        <w:t xml:space="preserve"> الم</w:t>
      </w:r>
      <w:r>
        <w:rPr>
          <w:rFonts w:ascii="Arial" w:hAnsi="Arial" w:cs="Arial" w:hint="cs"/>
          <w:b/>
          <w:bCs/>
          <w:sz w:val="28"/>
          <w:szCs w:val="28"/>
          <w:rtl/>
          <w:lang w:bidi="ar-IQ"/>
        </w:rPr>
        <w:t>ُ</w:t>
      </w:r>
      <w:r w:rsidRPr="00FE1FB0">
        <w:rPr>
          <w:rFonts w:ascii="Arial" w:hAnsi="Arial" w:cs="Arial" w:hint="cs"/>
          <w:b/>
          <w:bCs/>
          <w:sz w:val="28"/>
          <w:szCs w:val="28"/>
          <w:rtl/>
          <w:lang w:bidi="ar-IQ"/>
        </w:rPr>
        <w:t>لحقات التي تتضمن زيادة في أعباء مالية قائمة</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من أمثلة الملحقات المذكورة : زيادة سعر ضريبة العقار المفروضة بموجب القانون رقم  ( 162) لسنة 1959 من ( 10% ) إلى ( 12 %)</w:t>
      </w:r>
      <w:r w:rsidRPr="00CA6C42">
        <w:rPr>
          <w:rFonts w:ascii="Arial" w:hAnsi="Arial" w:cs="Arial" w:hint="cs"/>
          <w:sz w:val="28"/>
          <w:szCs w:val="28"/>
          <w:vertAlign w:val="superscript"/>
          <w:rtl/>
          <w:lang w:bidi="ar-IQ"/>
        </w:rPr>
        <w:t>(</w:t>
      </w:r>
      <w:r w:rsidRPr="00CA6C42">
        <w:rPr>
          <w:rStyle w:val="FootnoteReference"/>
          <w:rFonts w:ascii="Arial" w:hAnsi="Arial" w:cs="Arial"/>
          <w:sz w:val="28"/>
          <w:szCs w:val="28"/>
          <w:rtl/>
          <w:lang w:bidi="ar-IQ"/>
        </w:rPr>
        <w:footnoteReference w:id="5"/>
      </w:r>
      <w:r w:rsidRPr="00CA6C42">
        <w:rPr>
          <w:rFonts w:ascii="Arial" w:hAnsi="Arial" w:cs="Arial" w:hint="cs"/>
          <w:sz w:val="28"/>
          <w:szCs w:val="28"/>
          <w:vertAlign w:val="superscript"/>
          <w:rtl/>
          <w:lang w:bidi="ar-IQ"/>
        </w:rPr>
        <w:t>)</w:t>
      </w:r>
      <w:r>
        <w:rPr>
          <w:rFonts w:ascii="Arial" w:hAnsi="Arial" w:cs="Arial" w:hint="cs"/>
          <w:sz w:val="28"/>
          <w:szCs w:val="28"/>
          <w:rtl/>
          <w:lang w:bidi="ar-IQ"/>
        </w:rPr>
        <w:t>.</w:t>
      </w:r>
    </w:p>
    <w:p w:rsidR="00CD0F66" w:rsidRPr="00285F4D" w:rsidRDefault="00CD0F66" w:rsidP="00CD0F66">
      <w:pPr>
        <w:bidi/>
        <w:ind w:firstLine="571"/>
        <w:jc w:val="mediumKashida"/>
        <w:rPr>
          <w:rFonts w:ascii="Arial" w:hAnsi="Arial" w:cs="Arial"/>
          <w:b/>
          <w:bCs/>
          <w:sz w:val="28"/>
          <w:szCs w:val="28"/>
          <w:rtl/>
          <w:lang w:bidi="ar-IQ"/>
        </w:rPr>
      </w:pPr>
      <w:r w:rsidRPr="00285F4D">
        <w:rPr>
          <w:rFonts w:ascii="Arial" w:hAnsi="Arial" w:cs="Arial" w:hint="cs"/>
          <w:b/>
          <w:bCs/>
          <w:sz w:val="28"/>
          <w:szCs w:val="28"/>
          <w:rtl/>
          <w:lang w:bidi="ar-IQ"/>
        </w:rPr>
        <w:t xml:space="preserve">3 </w:t>
      </w:r>
      <w:r w:rsidRPr="00285F4D">
        <w:rPr>
          <w:rFonts w:ascii="Arial" w:hAnsi="Arial" w:cs="Arial"/>
          <w:b/>
          <w:bCs/>
          <w:sz w:val="28"/>
          <w:szCs w:val="28"/>
          <w:rtl/>
          <w:lang w:bidi="ar-IQ"/>
        </w:rPr>
        <w:t>–</w:t>
      </w:r>
      <w:r w:rsidRPr="00285F4D">
        <w:rPr>
          <w:rFonts w:ascii="Arial" w:hAnsi="Arial" w:cs="Arial" w:hint="cs"/>
          <w:b/>
          <w:bCs/>
          <w:sz w:val="28"/>
          <w:szCs w:val="28"/>
          <w:rtl/>
          <w:lang w:bidi="ar-IQ"/>
        </w:rPr>
        <w:t xml:space="preserve"> الم</w:t>
      </w:r>
      <w:r>
        <w:rPr>
          <w:rFonts w:ascii="Arial" w:hAnsi="Arial" w:cs="Arial" w:hint="cs"/>
          <w:b/>
          <w:bCs/>
          <w:sz w:val="28"/>
          <w:szCs w:val="28"/>
          <w:rtl/>
          <w:lang w:bidi="ar-IQ"/>
        </w:rPr>
        <w:t>ُ</w:t>
      </w:r>
      <w:r w:rsidRPr="00285F4D">
        <w:rPr>
          <w:rFonts w:ascii="Arial" w:hAnsi="Arial" w:cs="Arial" w:hint="cs"/>
          <w:b/>
          <w:bCs/>
          <w:sz w:val="28"/>
          <w:szCs w:val="28"/>
          <w:rtl/>
          <w:lang w:bidi="ar-IQ"/>
        </w:rPr>
        <w:t>لحقات التي تتضمن تخفيض في أعباء مالية قائمة</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lastRenderedPageBreak/>
        <w:t>قرر المشرع العراقي في موازنة سنة 2008 مضاعفة مبالغ السماحات الضريبية للموظفين الواردة في قانون ضريبة الدخل النافذ رقم 113 لسنة 1982</w:t>
      </w:r>
      <w:r w:rsidRPr="00E85E51">
        <w:rPr>
          <w:rFonts w:ascii="Arial" w:hAnsi="Arial" w:cs="Arial" w:hint="cs"/>
          <w:sz w:val="28"/>
          <w:szCs w:val="28"/>
          <w:vertAlign w:val="superscript"/>
          <w:rtl/>
          <w:lang w:bidi="ar-IQ"/>
        </w:rPr>
        <w:t>(</w:t>
      </w:r>
      <w:r w:rsidRPr="00E85E51">
        <w:rPr>
          <w:rStyle w:val="FootnoteReference"/>
          <w:rFonts w:ascii="Arial" w:hAnsi="Arial" w:cs="Arial"/>
          <w:sz w:val="28"/>
          <w:szCs w:val="28"/>
          <w:rtl/>
          <w:lang w:bidi="ar-IQ"/>
        </w:rPr>
        <w:footnoteReference w:id="6"/>
      </w:r>
      <w:r w:rsidRPr="00E85E51">
        <w:rPr>
          <w:rFonts w:ascii="Arial" w:hAnsi="Arial" w:cs="Arial" w:hint="cs"/>
          <w:sz w:val="28"/>
          <w:szCs w:val="28"/>
          <w:vertAlign w:val="superscript"/>
          <w:rtl/>
          <w:lang w:bidi="ar-IQ"/>
        </w:rPr>
        <w:t>)</w:t>
      </w:r>
      <w:r>
        <w:rPr>
          <w:rFonts w:ascii="Arial" w:hAnsi="Arial" w:cs="Arial" w:hint="cs"/>
          <w:sz w:val="28"/>
          <w:szCs w:val="28"/>
          <w:rtl/>
          <w:lang w:bidi="ar-IQ"/>
        </w:rPr>
        <w:t>.</w:t>
      </w:r>
    </w:p>
    <w:p w:rsidR="00CD0F66" w:rsidRDefault="00CD0F66" w:rsidP="00CD0F66">
      <w:pPr>
        <w:bidi/>
        <w:ind w:firstLine="571"/>
        <w:jc w:val="mediumKashida"/>
        <w:rPr>
          <w:rFonts w:ascii="Arial" w:hAnsi="Arial" w:cs="Arial"/>
          <w:sz w:val="28"/>
          <w:szCs w:val="28"/>
          <w:rtl/>
          <w:lang w:bidi="ar-IQ"/>
        </w:rPr>
      </w:pPr>
    </w:p>
    <w:p w:rsidR="00CD0F66" w:rsidRPr="00285F4D" w:rsidRDefault="00CD0F66" w:rsidP="00CD0F66">
      <w:pPr>
        <w:bidi/>
        <w:ind w:firstLine="571"/>
        <w:jc w:val="mediumKashida"/>
        <w:rPr>
          <w:rFonts w:ascii="Arial" w:hAnsi="Arial" w:cs="Arial"/>
          <w:b/>
          <w:bCs/>
          <w:sz w:val="28"/>
          <w:szCs w:val="28"/>
          <w:rtl/>
          <w:lang w:bidi="ar-IQ"/>
        </w:rPr>
      </w:pPr>
      <w:r w:rsidRPr="00285F4D">
        <w:rPr>
          <w:rFonts w:ascii="Arial" w:hAnsi="Arial" w:cs="Arial" w:hint="cs"/>
          <w:b/>
          <w:bCs/>
          <w:sz w:val="28"/>
          <w:szCs w:val="28"/>
          <w:rtl/>
          <w:lang w:bidi="ar-IQ"/>
        </w:rPr>
        <w:t xml:space="preserve">4 </w:t>
      </w:r>
      <w:r w:rsidRPr="00285F4D">
        <w:rPr>
          <w:rFonts w:ascii="Arial" w:hAnsi="Arial" w:cs="Arial"/>
          <w:b/>
          <w:bCs/>
          <w:sz w:val="28"/>
          <w:szCs w:val="28"/>
          <w:rtl/>
          <w:lang w:bidi="ar-IQ"/>
        </w:rPr>
        <w:t>–</w:t>
      </w:r>
      <w:r w:rsidRPr="00285F4D">
        <w:rPr>
          <w:rFonts w:ascii="Arial" w:hAnsi="Arial" w:cs="Arial" w:hint="cs"/>
          <w:b/>
          <w:bCs/>
          <w:sz w:val="28"/>
          <w:szCs w:val="28"/>
          <w:rtl/>
          <w:lang w:bidi="ar-IQ"/>
        </w:rPr>
        <w:t xml:space="preserve"> الم</w:t>
      </w:r>
      <w:r>
        <w:rPr>
          <w:rFonts w:ascii="Arial" w:hAnsi="Arial" w:cs="Arial" w:hint="cs"/>
          <w:b/>
          <w:bCs/>
          <w:sz w:val="28"/>
          <w:szCs w:val="28"/>
          <w:rtl/>
          <w:lang w:bidi="ar-IQ"/>
        </w:rPr>
        <w:t>ُ</w:t>
      </w:r>
      <w:r w:rsidRPr="00285F4D">
        <w:rPr>
          <w:rFonts w:ascii="Arial" w:hAnsi="Arial" w:cs="Arial" w:hint="cs"/>
          <w:b/>
          <w:bCs/>
          <w:sz w:val="28"/>
          <w:szCs w:val="28"/>
          <w:rtl/>
          <w:lang w:bidi="ar-IQ"/>
        </w:rPr>
        <w:t>لحقات التي تتضمن الإعفاء من الأعباء المالية</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من أمثلة هذا النوع من المُلحقات : إعفاء شركات القطاع العام والخاص من الغرامات التأخيرية التي يستحق فرضها بسبب تلكؤ إنجاز المشاريع إذا كان التلكؤ سببه عدم صرف المستحقات المالية للجهات المذكورة</w:t>
      </w:r>
      <w:r w:rsidRPr="00A10896">
        <w:rPr>
          <w:rFonts w:ascii="Arial" w:hAnsi="Arial" w:cs="Arial" w:hint="cs"/>
          <w:sz w:val="28"/>
          <w:szCs w:val="28"/>
          <w:vertAlign w:val="superscript"/>
          <w:rtl/>
          <w:lang w:bidi="ar-IQ"/>
        </w:rPr>
        <w:t>(</w:t>
      </w:r>
      <w:r w:rsidRPr="00A10896">
        <w:rPr>
          <w:rStyle w:val="FootnoteReference"/>
          <w:rFonts w:ascii="Arial" w:hAnsi="Arial" w:cs="Arial"/>
          <w:sz w:val="28"/>
          <w:szCs w:val="28"/>
          <w:rtl/>
          <w:lang w:bidi="ar-IQ"/>
        </w:rPr>
        <w:footnoteReference w:id="7"/>
      </w:r>
      <w:r w:rsidRPr="00A10896">
        <w:rPr>
          <w:rFonts w:ascii="Arial" w:hAnsi="Arial" w:cs="Arial" w:hint="cs"/>
          <w:sz w:val="28"/>
          <w:szCs w:val="28"/>
          <w:vertAlign w:val="superscript"/>
          <w:rtl/>
          <w:lang w:bidi="ar-IQ"/>
        </w:rPr>
        <w:t>)</w:t>
      </w:r>
      <w:r>
        <w:rPr>
          <w:rFonts w:ascii="Arial" w:hAnsi="Arial" w:cs="Arial" w:hint="cs"/>
          <w:sz w:val="28"/>
          <w:szCs w:val="28"/>
          <w:rtl/>
          <w:lang w:bidi="ar-IQ"/>
        </w:rPr>
        <w:t>.</w:t>
      </w:r>
    </w:p>
    <w:p w:rsidR="00CD0F66" w:rsidRPr="00285F4D" w:rsidRDefault="00CD0F66" w:rsidP="00CD0F66">
      <w:pPr>
        <w:bidi/>
        <w:ind w:firstLine="571"/>
        <w:jc w:val="mediumKashida"/>
        <w:rPr>
          <w:rFonts w:ascii="Arial" w:hAnsi="Arial" w:cs="Arial"/>
          <w:b/>
          <w:bCs/>
          <w:sz w:val="28"/>
          <w:szCs w:val="28"/>
          <w:rtl/>
          <w:lang w:bidi="ar-IQ"/>
        </w:rPr>
      </w:pPr>
      <w:r w:rsidRPr="00285F4D">
        <w:rPr>
          <w:rFonts w:ascii="Arial" w:hAnsi="Arial" w:cs="Arial" w:hint="cs"/>
          <w:b/>
          <w:bCs/>
          <w:sz w:val="28"/>
          <w:szCs w:val="28"/>
          <w:rtl/>
          <w:lang w:bidi="ar-IQ"/>
        </w:rPr>
        <w:t xml:space="preserve">5 </w:t>
      </w:r>
      <w:r w:rsidRPr="00285F4D">
        <w:rPr>
          <w:rFonts w:ascii="Arial" w:hAnsi="Arial" w:cs="Arial"/>
          <w:b/>
          <w:bCs/>
          <w:sz w:val="28"/>
          <w:szCs w:val="28"/>
          <w:rtl/>
          <w:lang w:bidi="ar-IQ"/>
        </w:rPr>
        <w:t>–</w:t>
      </w:r>
      <w:r w:rsidRPr="00285F4D">
        <w:rPr>
          <w:rFonts w:ascii="Arial" w:hAnsi="Arial" w:cs="Arial" w:hint="cs"/>
          <w:b/>
          <w:bCs/>
          <w:sz w:val="28"/>
          <w:szCs w:val="28"/>
          <w:rtl/>
          <w:lang w:bidi="ar-IQ"/>
        </w:rPr>
        <w:t xml:space="preserve"> الم</w:t>
      </w:r>
      <w:r>
        <w:rPr>
          <w:rFonts w:ascii="Arial" w:hAnsi="Arial" w:cs="Arial" w:hint="cs"/>
          <w:b/>
          <w:bCs/>
          <w:sz w:val="28"/>
          <w:szCs w:val="28"/>
          <w:rtl/>
          <w:lang w:bidi="ar-IQ"/>
        </w:rPr>
        <w:t>ُ</w:t>
      </w:r>
      <w:r w:rsidRPr="00285F4D">
        <w:rPr>
          <w:rFonts w:ascii="Arial" w:hAnsi="Arial" w:cs="Arial" w:hint="cs"/>
          <w:b/>
          <w:bCs/>
          <w:sz w:val="28"/>
          <w:szCs w:val="28"/>
          <w:rtl/>
          <w:lang w:bidi="ar-IQ"/>
        </w:rPr>
        <w:t>لحقات التي تهدف الى ترشيد النفقات العامة</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ومن أمثلتها : تخفيض الإيفادات الخارجية</w:t>
      </w:r>
      <w:r>
        <w:rPr>
          <w:rFonts w:ascii="Arial" w:hAnsi="Arial" w:cs="Arial" w:hint="cs"/>
          <w:sz w:val="28"/>
          <w:szCs w:val="28"/>
          <w:vertAlign w:val="superscript"/>
          <w:rtl/>
          <w:lang w:bidi="ar-IQ"/>
        </w:rPr>
        <w:t xml:space="preserve"> </w:t>
      </w:r>
      <w:r>
        <w:rPr>
          <w:rFonts w:ascii="Arial" w:hAnsi="Arial" w:cs="Arial" w:hint="cs"/>
          <w:sz w:val="28"/>
          <w:szCs w:val="28"/>
          <w:rtl/>
          <w:lang w:bidi="ar-IQ"/>
        </w:rPr>
        <w:t xml:space="preserve"> ومنع اقامة المؤتمرات خارج العراق</w:t>
      </w:r>
      <w:r w:rsidRPr="004C6034">
        <w:rPr>
          <w:rFonts w:ascii="Arial" w:hAnsi="Arial" w:cs="Arial" w:hint="cs"/>
          <w:sz w:val="28"/>
          <w:szCs w:val="28"/>
          <w:vertAlign w:val="superscript"/>
          <w:rtl/>
          <w:lang w:bidi="ar-IQ"/>
        </w:rPr>
        <w:t>(</w:t>
      </w:r>
      <w:r w:rsidRPr="004C6034">
        <w:rPr>
          <w:rStyle w:val="FootnoteReference"/>
          <w:rFonts w:ascii="Arial" w:hAnsi="Arial" w:cs="Arial"/>
          <w:sz w:val="28"/>
          <w:szCs w:val="28"/>
          <w:rtl/>
          <w:lang w:bidi="ar-IQ"/>
        </w:rPr>
        <w:footnoteReference w:id="8"/>
      </w:r>
      <w:r w:rsidRPr="004C6034">
        <w:rPr>
          <w:rFonts w:ascii="Arial" w:hAnsi="Arial" w:cs="Arial" w:hint="cs"/>
          <w:sz w:val="28"/>
          <w:szCs w:val="28"/>
          <w:vertAlign w:val="superscript"/>
          <w:rtl/>
          <w:lang w:bidi="ar-IQ"/>
        </w:rPr>
        <w:t>)</w:t>
      </w:r>
      <w:r>
        <w:rPr>
          <w:rFonts w:ascii="Arial" w:hAnsi="Arial" w:cs="Arial" w:hint="cs"/>
          <w:sz w:val="28"/>
          <w:szCs w:val="28"/>
          <w:rtl/>
          <w:lang w:bidi="ar-IQ"/>
        </w:rPr>
        <w:t>. وغلق السفارات والبعثات الدبلوماسية العراقية في الدول التي ليس لها تمثيل دبلوماسي في العراق ، وفقا لمبدأ المعاملة بالمثل</w:t>
      </w:r>
      <w:r w:rsidRPr="004C6034">
        <w:rPr>
          <w:rFonts w:ascii="Arial" w:hAnsi="Arial" w:cs="Arial" w:hint="cs"/>
          <w:sz w:val="28"/>
          <w:szCs w:val="28"/>
          <w:vertAlign w:val="superscript"/>
          <w:rtl/>
          <w:lang w:bidi="ar-IQ"/>
        </w:rPr>
        <w:t>(</w:t>
      </w:r>
      <w:r w:rsidRPr="004C6034">
        <w:rPr>
          <w:rStyle w:val="FootnoteReference"/>
          <w:rFonts w:ascii="Arial" w:hAnsi="Arial" w:cs="Arial"/>
          <w:sz w:val="28"/>
          <w:szCs w:val="28"/>
          <w:rtl/>
          <w:lang w:bidi="ar-IQ"/>
        </w:rPr>
        <w:footnoteReference w:id="9"/>
      </w:r>
      <w:r w:rsidRPr="004C6034">
        <w:rPr>
          <w:rFonts w:ascii="Arial" w:hAnsi="Arial" w:cs="Arial" w:hint="cs"/>
          <w:sz w:val="28"/>
          <w:szCs w:val="28"/>
          <w:vertAlign w:val="superscript"/>
          <w:rtl/>
          <w:lang w:bidi="ar-IQ"/>
        </w:rPr>
        <w:t>)</w:t>
      </w:r>
      <w:r>
        <w:rPr>
          <w:rFonts w:ascii="Arial" w:hAnsi="Arial" w:cs="Arial" w:hint="cs"/>
          <w:sz w:val="28"/>
          <w:szCs w:val="28"/>
          <w:rtl/>
          <w:lang w:bidi="ar-IQ"/>
        </w:rPr>
        <w:t>.ودمج بعض السفارات العراقية في سفارة واحدة إقليمية</w:t>
      </w:r>
      <w:r w:rsidRPr="00C07654">
        <w:rPr>
          <w:rFonts w:ascii="Arial" w:hAnsi="Arial" w:cs="Arial" w:hint="cs"/>
          <w:sz w:val="28"/>
          <w:szCs w:val="28"/>
          <w:vertAlign w:val="superscript"/>
          <w:rtl/>
          <w:lang w:bidi="ar-IQ"/>
        </w:rPr>
        <w:t>(</w:t>
      </w:r>
      <w:r w:rsidRPr="00C07654">
        <w:rPr>
          <w:rStyle w:val="FootnoteReference"/>
          <w:rFonts w:ascii="Arial" w:hAnsi="Arial" w:cs="Arial"/>
          <w:sz w:val="28"/>
          <w:szCs w:val="28"/>
          <w:rtl/>
          <w:lang w:bidi="ar-IQ"/>
        </w:rPr>
        <w:footnoteReference w:id="10"/>
      </w:r>
      <w:r w:rsidRPr="00C07654">
        <w:rPr>
          <w:rFonts w:ascii="Arial" w:hAnsi="Arial" w:cs="Arial" w:hint="cs"/>
          <w:sz w:val="28"/>
          <w:szCs w:val="28"/>
          <w:vertAlign w:val="superscript"/>
          <w:rtl/>
          <w:lang w:bidi="ar-IQ"/>
        </w:rPr>
        <w:t>)</w:t>
      </w:r>
      <w:r>
        <w:rPr>
          <w:rFonts w:ascii="Arial" w:hAnsi="Arial" w:cs="Arial" w:hint="cs"/>
          <w:sz w:val="28"/>
          <w:szCs w:val="28"/>
          <w:rtl/>
          <w:lang w:bidi="ar-IQ"/>
        </w:rPr>
        <w:t>.</w:t>
      </w:r>
    </w:p>
    <w:p w:rsidR="00CD0F66" w:rsidRPr="00D4314C" w:rsidRDefault="00CD0F66" w:rsidP="00CD0F66">
      <w:pPr>
        <w:bidi/>
        <w:ind w:firstLine="571"/>
        <w:jc w:val="mediumKashida"/>
        <w:rPr>
          <w:rFonts w:ascii="Arial" w:hAnsi="Arial" w:cs="Arial"/>
          <w:b/>
          <w:bCs/>
          <w:sz w:val="28"/>
          <w:szCs w:val="28"/>
          <w:rtl/>
          <w:lang w:bidi="ar-IQ"/>
        </w:rPr>
      </w:pPr>
      <w:r w:rsidRPr="00D4314C">
        <w:rPr>
          <w:rFonts w:ascii="Arial" w:hAnsi="Arial" w:cs="Arial" w:hint="cs"/>
          <w:b/>
          <w:bCs/>
          <w:sz w:val="28"/>
          <w:szCs w:val="28"/>
          <w:rtl/>
          <w:lang w:bidi="ar-IQ"/>
        </w:rPr>
        <w:t>ثانيا : الأحكام الإدارية الم</w:t>
      </w:r>
      <w:r>
        <w:rPr>
          <w:rFonts w:ascii="Arial" w:hAnsi="Arial" w:cs="Arial" w:hint="cs"/>
          <w:b/>
          <w:bCs/>
          <w:sz w:val="28"/>
          <w:szCs w:val="28"/>
          <w:rtl/>
          <w:lang w:bidi="ar-IQ"/>
        </w:rPr>
        <w:t>ُ</w:t>
      </w:r>
      <w:r w:rsidRPr="00D4314C">
        <w:rPr>
          <w:rFonts w:ascii="Arial" w:hAnsi="Arial" w:cs="Arial" w:hint="cs"/>
          <w:b/>
          <w:bCs/>
          <w:sz w:val="28"/>
          <w:szCs w:val="28"/>
          <w:rtl/>
          <w:lang w:bidi="ar-IQ"/>
        </w:rPr>
        <w:t xml:space="preserve">لحقة بالموازنات العراقية </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حفلت قوانين الموازنات العامة العراقية بأحكام تناولت موضوعات إدارية بطبيعتها ، ومن الأمثلة عليها :</w:t>
      </w:r>
    </w:p>
    <w:p w:rsidR="00CD0F66" w:rsidRDefault="00CD0F66" w:rsidP="00CD0F66">
      <w:pPr>
        <w:bidi/>
        <w:ind w:firstLine="571"/>
        <w:jc w:val="mediumKashida"/>
        <w:rPr>
          <w:rFonts w:ascii="Arial" w:hAnsi="Arial" w:cs="Arial"/>
          <w:sz w:val="28"/>
          <w:szCs w:val="28"/>
          <w:rtl/>
          <w:lang w:bidi="ar-IQ"/>
        </w:rPr>
      </w:pPr>
      <w:r w:rsidRPr="00D4314C">
        <w:rPr>
          <w:rFonts w:ascii="Arial" w:hAnsi="Arial" w:cs="Arial" w:hint="cs"/>
          <w:b/>
          <w:bCs/>
          <w:sz w:val="28"/>
          <w:szCs w:val="28"/>
          <w:rtl/>
          <w:lang w:bidi="ar-IQ"/>
        </w:rPr>
        <w:t xml:space="preserve">1 </w:t>
      </w:r>
      <w:r w:rsidRPr="00D4314C">
        <w:rPr>
          <w:rFonts w:ascii="Arial" w:hAnsi="Arial" w:cs="Arial"/>
          <w:b/>
          <w:bCs/>
          <w:sz w:val="28"/>
          <w:szCs w:val="28"/>
          <w:rtl/>
          <w:lang w:bidi="ar-IQ"/>
        </w:rPr>
        <w:t>–</w:t>
      </w:r>
      <w:r w:rsidRPr="00D4314C">
        <w:rPr>
          <w:rFonts w:ascii="Arial" w:hAnsi="Arial" w:cs="Arial" w:hint="cs"/>
          <w:b/>
          <w:bCs/>
          <w:sz w:val="28"/>
          <w:szCs w:val="28"/>
          <w:rtl/>
          <w:lang w:bidi="ar-IQ"/>
        </w:rPr>
        <w:t xml:space="preserve"> </w:t>
      </w:r>
      <w:r>
        <w:rPr>
          <w:rFonts w:ascii="Arial" w:hAnsi="Arial" w:cs="Arial" w:hint="cs"/>
          <w:b/>
          <w:bCs/>
          <w:sz w:val="28"/>
          <w:szCs w:val="28"/>
          <w:rtl/>
          <w:lang w:bidi="ar-IQ"/>
        </w:rPr>
        <w:t>إ</w:t>
      </w:r>
      <w:r w:rsidRPr="00D4314C">
        <w:rPr>
          <w:rFonts w:ascii="Arial" w:hAnsi="Arial" w:cs="Arial" w:hint="cs"/>
          <w:b/>
          <w:bCs/>
          <w:sz w:val="28"/>
          <w:szCs w:val="28"/>
          <w:rtl/>
          <w:lang w:bidi="ar-IQ"/>
        </w:rPr>
        <w:t>نشاء أشخاص عامة</w:t>
      </w:r>
    </w:p>
    <w:p w:rsidR="00CD0F66" w:rsidRPr="00D4314C"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مثل : تأسيس صندوق لإعادة إعمار المناطق التي دمرها الارهاب</w:t>
      </w:r>
      <w:r w:rsidRPr="00C07654">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11"/>
      </w:r>
      <w:r w:rsidRPr="00D4314C">
        <w:rPr>
          <w:rFonts w:ascii="Arial" w:hAnsi="Arial" w:cs="Arial" w:hint="cs"/>
          <w:sz w:val="28"/>
          <w:szCs w:val="28"/>
          <w:vertAlign w:val="superscript"/>
          <w:rtl/>
          <w:lang w:bidi="ar-IQ"/>
        </w:rPr>
        <w:t>.</w:t>
      </w:r>
      <w:r>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CD0F66" w:rsidRDefault="00CD0F66" w:rsidP="00CD0F66">
      <w:pPr>
        <w:bidi/>
        <w:ind w:firstLine="571"/>
        <w:jc w:val="mediumKashida"/>
        <w:rPr>
          <w:rFonts w:ascii="Arial" w:hAnsi="Arial" w:cs="Arial"/>
          <w:b/>
          <w:bCs/>
          <w:sz w:val="28"/>
          <w:szCs w:val="28"/>
          <w:rtl/>
          <w:lang w:bidi="ar-IQ"/>
        </w:rPr>
      </w:pPr>
      <w:r>
        <w:rPr>
          <w:rFonts w:ascii="Arial" w:hAnsi="Arial" w:cs="Arial" w:hint="cs"/>
          <w:b/>
          <w:bCs/>
          <w:sz w:val="28"/>
          <w:szCs w:val="28"/>
          <w:rtl/>
          <w:lang w:bidi="ar-IQ"/>
        </w:rPr>
        <w:lastRenderedPageBreak/>
        <w:t xml:space="preserve">2 </w:t>
      </w:r>
      <w:r>
        <w:rPr>
          <w:rFonts w:ascii="Arial" w:hAnsi="Arial" w:cs="Arial"/>
          <w:b/>
          <w:bCs/>
          <w:sz w:val="28"/>
          <w:szCs w:val="28"/>
          <w:rtl/>
          <w:lang w:bidi="ar-IQ"/>
        </w:rPr>
        <w:t>–</w:t>
      </w:r>
      <w:r>
        <w:rPr>
          <w:rFonts w:ascii="Arial" w:hAnsi="Arial" w:cs="Arial" w:hint="cs"/>
          <w:b/>
          <w:bCs/>
          <w:sz w:val="28"/>
          <w:szCs w:val="28"/>
          <w:rtl/>
          <w:lang w:bidi="ar-IQ"/>
        </w:rPr>
        <w:t xml:space="preserve"> تنظيم المراكز القانونية للموظفين</w:t>
      </w:r>
    </w:p>
    <w:p w:rsidR="00CD0F66" w:rsidRPr="00733E5C" w:rsidRDefault="00CD0F66" w:rsidP="00CD0F66">
      <w:pPr>
        <w:bidi/>
        <w:ind w:firstLine="571"/>
        <w:jc w:val="mediumKashida"/>
        <w:rPr>
          <w:rFonts w:ascii="Arial" w:hAnsi="Arial" w:cs="Arial"/>
          <w:sz w:val="28"/>
          <w:szCs w:val="28"/>
          <w:rtl/>
          <w:lang w:bidi="ar-IQ"/>
        </w:rPr>
      </w:pPr>
      <w:r w:rsidRPr="00F31C0C">
        <w:rPr>
          <w:rFonts w:ascii="Arial" w:hAnsi="Arial" w:cs="Arial" w:hint="cs"/>
          <w:sz w:val="28"/>
          <w:szCs w:val="28"/>
          <w:rtl/>
          <w:lang w:bidi="ar-IQ"/>
        </w:rPr>
        <w:t xml:space="preserve">مثل </w:t>
      </w:r>
      <w:r>
        <w:rPr>
          <w:rFonts w:ascii="Arial" w:hAnsi="Arial" w:cs="Arial" w:hint="cs"/>
          <w:sz w:val="28"/>
          <w:szCs w:val="28"/>
          <w:rtl/>
          <w:lang w:bidi="ar-IQ"/>
        </w:rPr>
        <w:t>:</w:t>
      </w:r>
      <w:r w:rsidRPr="00F31C0C">
        <w:rPr>
          <w:rFonts w:ascii="Arial" w:hAnsi="Arial" w:cs="Arial" w:hint="cs"/>
          <w:sz w:val="28"/>
          <w:szCs w:val="28"/>
          <w:rtl/>
          <w:lang w:bidi="ar-IQ"/>
        </w:rPr>
        <w:t xml:space="preserve">عدم التعيين في أية وظائف قيادية ( مدير عام فما فوق </w:t>
      </w:r>
      <w:r>
        <w:rPr>
          <w:rFonts w:ascii="Arial" w:hAnsi="Arial" w:cs="Arial" w:hint="cs"/>
          <w:sz w:val="28"/>
          <w:szCs w:val="28"/>
          <w:rtl/>
          <w:lang w:bidi="ar-IQ"/>
        </w:rPr>
        <w:t>)</w:t>
      </w:r>
      <w:r w:rsidRPr="00F31C0C">
        <w:rPr>
          <w:rFonts w:ascii="Arial" w:hAnsi="Arial" w:cs="Arial" w:hint="cs"/>
          <w:sz w:val="28"/>
          <w:szCs w:val="28"/>
          <w:rtl/>
          <w:lang w:bidi="ar-IQ"/>
        </w:rPr>
        <w:t xml:space="preserve"> ما لم يوجد لها درجة في قانون الوزارة أو الجهة غير المرتبطة بوزارة</w:t>
      </w:r>
      <w:r>
        <w:rPr>
          <w:rFonts w:ascii="Arial" w:hAnsi="Arial" w:cs="Arial" w:hint="cs"/>
          <w:sz w:val="28"/>
          <w:szCs w:val="28"/>
          <w:rtl/>
          <w:lang w:bidi="ar-IQ"/>
        </w:rPr>
        <w:t xml:space="preserve"> </w:t>
      </w:r>
      <w:r w:rsidRPr="00F31C0C">
        <w:rPr>
          <w:rFonts w:ascii="Arial" w:hAnsi="Arial" w:cs="Arial" w:hint="cs"/>
          <w:sz w:val="28"/>
          <w:szCs w:val="28"/>
          <w:rtl/>
          <w:lang w:bidi="ar-IQ"/>
        </w:rPr>
        <w:t>أو تعليمات شغل المنصب</w:t>
      </w:r>
      <w:r w:rsidRPr="004944E3">
        <w:rPr>
          <w:rFonts w:ascii="Arial" w:hAnsi="Arial" w:cs="Arial" w:hint="cs"/>
          <w:sz w:val="28"/>
          <w:szCs w:val="28"/>
          <w:vertAlign w:val="superscript"/>
          <w:rtl/>
          <w:lang w:bidi="ar-IQ"/>
        </w:rPr>
        <w:t>(</w:t>
      </w:r>
      <w:r w:rsidRPr="004944E3">
        <w:rPr>
          <w:rStyle w:val="FootnoteReference"/>
          <w:rFonts w:ascii="Arial" w:hAnsi="Arial" w:cs="Arial"/>
          <w:sz w:val="28"/>
          <w:szCs w:val="28"/>
          <w:rtl/>
          <w:lang w:bidi="ar-IQ"/>
        </w:rPr>
        <w:footnoteReference w:id="12"/>
      </w:r>
      <w:r w:rsidRPr="004944E3">
        <w:rPr>
          <w:rFonts w:ascii="Arial" w:hAnsi="Arial" w:cs="Arial" w:hint="cs"/>
          <w:sz w:val="28"/>
          <w:szCs w:val="28"/>
          <w:vertAlign w:val="superscript"/>
          <w:rtl/>
          <w:lang w:bidi="ar-IQ"/>
        </w:rPr>
        <w:t>)</w:t>
      </w:r>
      <w:r>
        <w:rPr>
          <w:rFonts w:ascii="Arial" w:hAnsi="Arial" w:cs="Arial" w:hint="cs"/>
          <w:b/>
          <w:bCs/>
          <w:sz w:val="28"/>
          <w:szCs w:val="28"/>
          <w:rtl/>
          <w:lang w:bidi="ar-IQ"/>
        </w:rPr>
        <w:t xml:space="preserve"> . </w:t>
      </w:r>
      <w:r>
        <w:rPr>
          <w:rFonts w:ascii="Arial" w:hAnsi="Arial" w:cs="Arial" w:hint="cs"/>
          <w:sz w:val="28"/>
          <w:szCs w:val="28"/>
          <w:rtl/>
          <w:lang w:bidi="ar-IQ"/>
        </w:rPr>
        <w:t xml:space="preserve">ومنح الموظف إجازة براتب أسمي لمدة خمس سنوات ، وتكون بدون راتب لما زاد عن خمس سنوات لمن أكمل أربع سنوات فعلية بالوظيفة </w:t>
      </w:r>
      <w:r w:rsidRPr="00C60A35">
        <w:rPr>
          <w:rFonts w:ascii="Arial" w:hAnsi="Arial" w:cs="Arial" w:hint="cs"/>
          <w:sz w:val="28"/>
          <w:szCs w:val="28"/>
          <w:vertAlign w:val="superscript"/>
          <w:rtl/>
          <w:lang w:bidi="ar-IQ"/>
        </w:rPr>
        <w:t>(</w:t>
      </w:r>
      <w:r w:rsidRPr="00C60A35">
        <w:rPr>
          <w:rStyle w:val="FootnoteReference"/>
          <w:rFonts w:ascii="Arial" w:hAnsi="Arial" w:cs="Arial"/>
          <w:sz w:val="28"/>
          <w:szCs w:val="28"/>
          <w:rtl/>
          <w:lang w:bidi="ar-IQ"/>
        </w:rPr>
        <w:footnoteReference w:id="13"/>
      </w:r>
      <w:r w:rsidRPr="00C60A35">
        <w:rPr>
          <w:rFonts w:ascii="Arial" w:hAnsi="Arial" w:cs="Arial" w:hint="cs"/>
          <w:sz w:val="28"/>
          <w:szCs w:val="28"/>
          <w:vertAlign w:val="superscript"/>
          <w:rtl/>
          <w:lang w:bidi="ar-IQ"/>
        </w:rPr>
        <w:t>)</w:t>
      </w:r>
      <w:r w:rsidRPr="00352F18">
        <w:rPr>
          <w:rFonts w:ascii="Arial" w:hAnsi="Arial" w:cs="Arial" w:hint="cs"/>
          <w:b/>
          <w:bCs/>
          <w:sz w:val="28"/>
          <w:szCs w:val="28"/>
          <w:rtl/>
          <w:lang w:bidi="ar-IQ"/>
        </w:rPr>
        <w:t>.</w:t>
      </w:r>
      <w:r>
        <w:rPr>
          <w:rFonts w:ascii="Arial" w:hAnsi="Arial" w:cs="Arial" w:hint="cs"/>
          <w:b/>
          <w:bCs/>
          <w:sz w:val="28"/>
          <w:szCs w:val="28"/>
          <w:rtl/>
          <w:lang w:bidi="ar-IQ"/>
        </w:rPr>
        <w:t xml:space="preserve"> </w:t>
      </w:r>
      <w:r w:rsidRPr="00733E5C">
        <w:rPr>
          <w:rFonts w:ascii="Arial" w:hAnsi="Arial" w:cs="Arial" w:hint="cs"/>
          <w:sz w:val="28"/>
          <w:szCs w:val="28"/>
          <w:rtl/>
          <w:lang w:bidi="ar-IQ"/>
        </w:rPr>
        <w:t>والزام الرئاسات الثلاث</w:t>
      </w:r>
      <w:r>
        <w:rPr>
          <w:rFonts w:ascii="Arial" w:hAnsi="Arial" w:cs="Arial" w:hint="cs"/>
          <w:sz w:val="28"/>
          <w:szCs w:val="28"/>
          <w:rtl/>
          <w:lang w:bidi="ar-IQ"/>
        </w:rPr>
        <w:t xml:space="preserve"> والوزارات كافة والجهات غير المرتبطة بوزارة بالقوانين ، والأنظمة ، والتعليمات النافذة والخاصة بمنح الاجازات الدراسية الموضوعة من قبل وزارة التعليم العالي والبحث العلمي وزارة التخطيط</w:t>
      </w:r>
      <w:r w:rsidRPr="00007898">
        <w:rPr>
          <w:rFonts w:ascii="Arial" w:hAnsi="Arial" w:cs="Arial" w:hint="cs"/>
          <w:sz w:val="28"/>
          <w:szCs w:val="28"/>
          <w:vertAlign w:val="superscript"/>
          <w:rtl/>
          <w:lang w:bidi="ar-IQ"/>
        </w:rPr>
        <w:t>(</w:t>
      </w:r>
      <w:r w:rsidRPr="00007898">
        <w:rPr>
          <w:rStyle w:val="FootnoteReference"/>
          <w:rFonts w:ascii="Arial" w:hAnsi="Arial" w:cs="Arial"/>
          <w:sz w:val="28"/>
          <w:szCs w:val="28"/>
          <w:rtl/>
          <w:lang w:bidi="ar-IQ"/>
        </w:rPr>
        <w:footnoteReference w:id="14"/>
      </w:r>
      <w:r w:rsidRPr="00007898">
        <w:rPr>
          <w:rFonts w:ascii="Arial" w:hAnsi="Arial" w:cs="Arial" w:hint="cs"/>
          <w:sz w:val="28"/>
          <w:szCs w:val="28"/>
          <w:vertAlign w:val="superscript"/>
          <w:rtl/>
          <w:lang w:bidi="ar-IQ"/>
        </w:rPr>
        <w:t>)</w:t>
      </w:r>
      <w:r>
        <w:rPr>
          <w:rFonts w:ascii="Arial" w:hAnsi="Arial" w:cs="Arial" w:hint="cs"/>
          <w:sz w:val="28"/>
          <w:szCs w:val="28"/>
          <w:rtl/>
          <w:lang w:bidi="ar-IQ"/>
        </w:rPr>
        <w:t xml:space="preserve"> . واعتماد التوازن في التعيينات ومؤسسات الدولة بما يضمن التوازن الوطني بين أبناء الشعب العراقي ومكوناته</w:t>
      </w:r>
      <w:r w:rsidRPr="00274E30">
        <w:rPr>
          <w:rFonts w:ascii="Arial" w:hAnsi="Arial" w:cs="Arial" w:hint="cs"/>
          <w:sz w:val="28"/>
          <w:szCs w:val="28"/>
          <w:vertAlign w:val="superscript"/>
          <w:rtl/>
          <w:lang w:bidi="ar-IQ"/>
        </w:rPr>
        <w:t>(</w:t>
      </w:r>
      <w:r w:rsidRPr="00274E30">
        <w:rPr>
          <w:rStyle w:val="FootnoteReference"/>
          <w:rFonts w:ascii="Arial" w:hAnsi="Arial" w:cs="Arial"/>
          <w:sz w:val="28"/>
          <w:szCs w:val="28"/>
          <w:rtl/>
          <w:lang w:bidi="ar-IQ"/>
        </w:rPr>
        <w:footnoteReference w:id="15"/>
      </w:r>
      <w:r w:rsidRPr="00274E30">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CD0F66" w:rsidRDefault="00CD0F66" w:rsidP="00CD0F66">
      <w:pPr>
        <w:bidi/>
        <w:ind w:firstLine="571"/>
        <w:jc w:val="mediumKashida"/>
        <w:rPr>
          <w:rFonts w:ascii="Arial" w:hAnsi="Arial" w:cs="Arial"/>
          <w:sz w:val="28"/>
          <w:szCs w:val="28"/>
          <w:rtl/>
          <w:lang w:bidi="ar-IQ"/>
        </w:rPr>
      </w:pPr>
      <w:r w:rsidRPr="00BB2F19">
        <w:rPr>
          <w:rFonts w:ascii="Arial" w:hAnsi="Arial" w:cs="Arial" w:hint="cs"/>
          <w:b/>
          <w:bCs/>
          <w:sz w:val="28"/>
          <w:szCs w:val="28"/>
          <w:rtl/>
          <w:lang w:bidi="ar-IQ"/>
        </w:rPr>
        <w:t xml:space="preserve"> 3</w:t>
      </w:r>
      <w:r>
        <w:rPr>
          <w:rFonts w:ascii="Arial" w:hAnsi="Arial" w:cs="Arial" w:hint="cs"/>
          <w:b/>
          <w:bCs/>
          <w:sz w:val="28"/>
          <w:szCs w:val="28"/>
          <w:rtl/>
          <w:lang w:bidi="ar-IQ"/>
        </w:rPr>
        <w:t xml:space="preserve"> </w:t>
      </w:r>
      <w:r>
        <w:rPr>
          <w:rFonts w:ascii="Arial" w:hAnsi="Arial" w:cs="Arial"/>
          <w:b/>
          <w:bCs/>
          <w:sz w:val="28"/>
          <w:szCs w:val="28"/>
          <w:rtl/>
          <w:lang w:bidi="ar-IQ"/>
        </w:rPr>
        <w:t>–</w:t>
      </w:r>
      <w:r>
        <w:rPr>
          <w:rFonts w:ascii="Arial" w:hAnsi="Arial" w:cs="Arial" w:hint="cs"/>
          <w:sz w:val="28"/>
          <w:szCs w:val="28"/>
          <w:rtl/>
          <w:lang w:bidi="ar-IQ"/>
        </w:rPr>
        <w:t xml:space="preserve"> </w:t>
      </w:r>
      <w:r w:rsidRPr="00BB2F19">
        <w:rPr>
          <w:rFonts w:ascii="Arial" w:hAnsi="Arial" w:cs="Arial" w:hint="cs"/>
          <w:b/>
          <w:bCs/>
          <w:sz w:val="28"/>
          <w:szCs w:val="28"/>
          <w:rtl/>
          <w:lang w:bidi="ar-IQ"/>
        </w:rPr>
        <w:t xml:space="preserve">تنظيم </w:t>
      </w:r>
      <w:r>
        <w:rPr>
          <w:rFonts w:ascii="Arial" w:hAnsi="Arial" w:cs="Arial" w:hint="cs"/>
          <w:b/>
          <w:bCs/>
          <w:sz w:val="28"/>
          <w:szCs w:val="28"/>
          <w:rtl/>
          <w:lang w:bidi="ar-IQ"/>
        </w:rPr>
        <w:t>ا</w:t>
      </w:r>
      <w:r w:rsidRPr="00BB2F19">
        <w:rPr>
          <w:rFonts w:ascii="Arial" w:hAnsi="Arial" w:cs="Arial" w:hint="cs"/>
          <w:b/>
          <w:bCs/>
          <w:sz w:val="28"/>
          <w:szCs w:val="28"/>
          <w:rtl/>
          <w:lang w:bidi="ar-IQ"/>
        </w:rPr>
        <w:t>ختصاص الهيئات المستقلة</w:t>
      </w:r>
    </w:p>
    <w:p w:rsidR="00CD0F66" w:rsidRDefault="00CD0F66" w:rsidP="00CD0F66">
      <w:pPr>
        <w:bidi/>
        <w:ind w:firstLine="571"/>
        <w:jc w:val="mediumKashida"/>
        <w:rPr>
          <w:rFonts w:ascii="Arial" w:hAnsi="Arial" w:cs="Arial"/>
          <w:b/>
          <w:bCs/>
          <w:sz w:val="28"/>
          <w:szCs w:val="28"/>
          <w:rtl/>
          <w:lang w:bidi="ar-IQ"/>
        </w:rPr>
      </w:pPr>
      <w:r>
        <w:rPr>
          <w:rFonts w:ascii="Arial" w:hAnsi="Arial" w:cs="Arial" w:hint="cs"/>
          <w:sz w:val="28"/>
          <w:szCs w:val="28"/>
          <w:rtl/>
          <w:lang w:bidi="ar-IQ"/>
        </w:rPr>
        <w:t xml:space="preserve">مثال على هذا النوع من الأحكام : إلزام ديوان الرقابة المالية بتدقيق المستحقات المالية بين الإقليم والحكومة الإتحادية للسنوات 2004 ولغاية 2016 </w:t>
      </w:r>
      <w:r w:rsidRPr="00F819A1">
        <w:rPr>
          <w:rFonts w:ascii="Arial" w:hAnsi="Arial" w:cs="Arial" w:hint="cs"/>
          <w:sz w:val="28"/>
          <w:szCs w:val="28"/>
          <w:vertAlign w:val="superscript"/>
          <w:rtl/>
          <w:lang w:bidi="ar-IQ"/>
        </w:rPr>
        <w:t>(</w:t>
      </w:r>
      <w:r w:rsidRPr="00F819A1">
        <w:rPr>
          <w:rStyle w:val="FootnoteReference"/>
          <w:rFonts w:ascii="Arial" w:hAnsi="Arial" w:cs="Arial"/>
          <w:sz w:val="28"/>
          <w:szCs w:val="28"/>
          <w:rtl/>
          <w:lang w:bidi="ar-IQ"/>
        </w:rPr>
        <w:footnoteReference w:id="16"/>
      </w:r>
      <w:r w:rsidRPr="00F819A1">
        <w:rPr>
          <w:rFonts w:ascii="Arial" w:hAnsi="Arial" w:cs="Arial" w:hint="cs"/>
          <w:sz w:val="28"/>
          <w:szCs w:val="28"/>
          <w:vertAlign w:val="superscript"/>
          <w:rtl/>
          <w:lang w:bidi="ar-IQ"/>
        </w:rPr>
        <w:t>)</w:t>
      </w:r>
      <w:r w:rsidRPr="00BB2F19">
        <w:rPr>
          <w:rFonts w:ascii="Arial" w:hAnsi="Arial" w:cs="Arial" w:hint="cs"/>
          <w:sz w:val="28"/>
          <w:szCs w:val="28"/>
          <w:vertAlign w:val="superscript"/>
          <w:rtl/>
          <w:lang w:bidi="ar-IQ"/>
        </w:rPr>
        <w:t xml:space="preserve"> </w:t>
      </w:r>
      <w:r>
        <w:rPr>
          <w:rFonts w:ascii="Arial" w:hAnsi="Arial" w:cs="Arial" w:hint="cs"/>
          <w:sz w:val="28"/>
          <w:szCs w:val="28"/>
          <w:rtl/>
          <w:lang w:bidi="ar-IQ"/>
        </w:rPr>
        <w:t>.</w:t>
      </w:r>
      <w:r>
        <w:rPr>
          <w:rFonts w:ascii="Arial" w:hAnsi="Arial" w:cs="Arial" w:hint="cs"/>
          <w:b/>
          <w:bCs/>
          <w:sz w:val="28"/>
          <w:szCs w:val="28"/>
          <w:rtl/>
          <w:lang w:bidi="ar-IQ"/>
        </w:rPr>
        <w:t xml:space="preserve"> </w:t>
      </w:r>
    </w:p>
    <w:p w:rsidR="00CD0F66" w:rsidRDefault="00CD0F66" w:rsidP="00CD0F66">
      <w:pPr>
        <w:bidi/>
        <w:ind w:firstLine="571"/>
        <w:jc w:val="mediumKashida"/>
        <w:rPr>
          <w:rFonts w:ascii="Arial" w:hAnsi="Arial" w:cs="Arial"/>
          <w:b/>
          <w:bCs/>
          <w:sz w:val="28"/>
          <w:szCs w:val="28"/>
          <w:rtl/>
          <w:lang w:bidi="ar-IQ"/>
        </w:rPr>
      </w:pPr>
      <w:r>
        <w:rPr>
          <w:rFonts w:ascii="Arial" w:hAnsi="Arial" w:cs="Arial" w:hint="cs"/>
          <w:b/>
          <w:bCs/>
          <w:sz w:val="28"/>
          <w:szCs w:val="28"/>
          <w:rtl/>
          <w:lang w:bidi="ar-IQ"/>
        </w:rPr>
        <w:t>ثالثا : الأحكام التجارية الملحقة بالموازنة العامة</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أحتوت الموازنات العراقية على أحكام نظمت معاملات غلب عليها الطابع التجاري ، منها على سبيل المثل :</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1 </w:t>
      </w:r>
      <w:r>
        <w:rPr>
          <w:rFonts w:ascii="Arial" w:hAnsi="Arial" w:cs="Arial"/>
          <w:sz w:val="28"/>
          <w:szCs w:val="28"/>
          <w:rtl/>
          <w:lang w:bidi="ar-IQ"/>
        </w:rPr>
        <w:t>–</w:t>
      </w:r>
      <w:r>
        <w:rPr>
          <w:rFonts w:ascii="Arial" w:hAnsi="Arial" w:cs="Arial" w:hint="cs"/>
          <w:sz w:val="28"/>
          <w:szCs w:val="28"/>
          <w:rtl/>
          <w:lang w:bidi="ar-IQ"/>
        </w:rPr>
        <w:t xml:space="preserve"> تخويل بعض الوزارات استثمار الأبنية والمشاريع المنجزة والمشاريع قيد الإنجاز بالمشاركة مع القطاع الخاص</w:t>
      </w:r>
      <w:r w:rsidRPr="00EA773B">
        <w:rPr>
          <w:rFonts w:ascii="Arial" w:hAnsi="Arial" w:cs="Arial" w:hint="cs"/>
          <w:sz w:val="28"/>
          <w:szCs w:val="28"/>
          <w:vertAlign w:val="superscript"/>
          <w:rtl/>
          <w:lang w:bidi="ar-IQ"/>
        </w:rPr>
        <w:t>(</w:t>
      </w:r>
      <w:r w:rsidRPr="00EA773B">
        <w:rPr>
          <w:rStyle w:val="FootnoteReference"/>
          <w:rFonts w:ascii="Arial" w:hAnsi="Arial" w:cs="Arial"/>
          <w:sz w:val="28"/>
          <w:szCs w:val="28"/>
          <w:rtl/>
          <w:lang w:bidi="ar-IQ"/>
        </w:rPr>
        <w:footnoteReference w:id="17"/>
      </w:r>
      <w:r w:rsidRPr="00EA773B">
        <w:rPr>
          <w:rFonts w:ascii="Arial" w:hAnsi="Arial" w:cs="Arial" w:hint="cs"/>
          <w:sz w:val="28"/>
          <w:szCs w:val="28"/>
          <w:vertAlign w:val="superscript"/>
          <w:rtl/>
          <w:lang w:bidi="ar-IQ"/>
        </w:rPr>
        <w:t>)</w:t>
      </w:r>
      <w:r w:rsidRPr="00BA3EF1">
        <w:rPr>
          <w:rFonts w:ascii="Arial" w:hAnsi="Arial" w:cs="Arial" w:hint="cs"/>
          <w:sz w:val="28"/>
          <w:szCs w:val="28"/>
          <w:vertAlign w:val="superscript"/>
          <w:rtl/>
          <w:lang w:bidi="ar-IQ"/>
        </w:rPr>
        <w:t xml:space="preserve"> </w:t>
      </w:r>
      <w:r>
        <w:rPr>
          <w:rFonts w:ascii="Arial" w:hAnsi="Arial" w:cs="Arial" w:hint="cs"/>
          <w:sz w:val="28"/>
          <w:szCs w:val="28"/>
          <w:rtl/>
          <w:lang w:bidi="ar-IQ"/>
        </w:rPr>
        <w:t>.</w:t>
      </w:r>
    </w:p>
    <w:p w:rsidR="00CD0F66" w:rsidRDefault="00CD0F66" w:rsidP="00CD0F66">
      <w:pPr>
        <w:bidi/>
        <w:ind w:firstLine="571"/>
        <w:jc w:val="mediumKashida"/>
        <w:rPr>
          <w:rFonts w:ascii="Arial" w:hAnsi="Arial" w:cs="Arial"/>
          <w:sz w:val="28"/>
          <w:szCs w:val="28"/>
          <w:vertAlign w:val="superscript"/>
          <w:rtl/>
          <w:lang w:bidi="ar-IQ"/>
        </w:rPr>
      </w:pPr>
      <w:r>
        <w:rPr>
          <w:rFonts w:ascii="Arial" w:hAnsi="Arial" w:cs="Arial" w:hint="cs"/>
          <w:sz w:val="28"/>
          <w:szCs w:val="28"/>
          <w:rtl/>
          <w:lang w:bidi="ar-IQ"/>
        </w:rPr>
        <w:t xml:space="preserve">2 </w:t>
      </w:r>
      <w:r>
        <w:rPr>
          <w:rFonts w:ascii="Arial" w:hAnsi="Arial" w:cs="Arial"/>
          <w:sz w:val="28"/>
          <w:szCs w:val="28"/>
          <w:rtl/>
          <w:lang w:bidi="ar-IQ"/>
        </w:rPr>
        <w:t>–</w:t>
      </w:r>
      <w:r>
        <w:rPr>
          <w:rFonts w:ascii="Arial" w:hAnsi="Arial" w:cs="Arial" w:hint="cs"/>
          <w:sz w:val="28"/>
          <w:szCs w:val="28"/>
          <w:rtl/>
          <w:lang w:bidi="ar-IQ"/>
        </w:rPr>
        <w:t xml:space="preserve"> فتح البنك المركزي نوافذ إسلامية في المصارف الخاصة الراغبة بذلك</w:t>
      </w:r>
      <w:r w:rsidRPr="00A32062">
        <w:rPr>
          <w:rFonts w:ascii="Arial" w:hAnsi="Arial" w:cs="Arial"/>
          <w:sz w:val="28"/>
          <w:szCs w:val="28"/>
          <w:vertAlign w:val="superscript"/>
          <w:lang w:bidi="ar-IQ"/>
        </w:rPr>
        <w:t>)</w:t>
      </w:r>
      <w:r w:rsidRPr="00A32062">
        <w:rPr>
          <w:rStyle w:val="FootnoteReference"/>
          <w:rFonts w:ascii="Arial" w:hAnsi="Arial" w:cs="Arial"/>
          <w:sz w:val="28"/>
          <w:szCs w:val="28"/>
          <w:rtl/>
          <w:lang w:bidi="ar-IQ"/>
        </w:rPr>
        <w:footnoteReference w:id="18"/>
      </w:r>
      <w:r>
        <w:rPr>
          <w:rFonts w:ascii="Arial" w:hAnsi="Arial" w:cs="Arial"/>
          <w:sz w:val="28"/>
          <w:szCs w:val="28"/>
          <w:vertAlign w:val="superscript"/>
          <w:lang w:bidi="ar-IQ"/>
        </w:rPr>
        <w:t xml:space="preserve"> </w:t>
      </w:r>
      <w:r w:rsidRPr="00A32062">
        <w:rPr>
          <w:rFonts w:ascii="Arial" w:hAnsi="Arial" w:cs="Arial"/>
          <w:sz w:val="28"/>
          <w:szCs w:val="28"/>
          <w:vertAlign w:val="superscript"/>
          <w:lang w:bidi="ar-IQ"/>
        </w:rPr>
        <w:t>(</w:t>
      </w:r>
      <w:r>
        <w:rPr>
          <w:rFonts w:ascii="Arial" w:hAnsi="Arial" w:cs="Arial" w:hint="cs"/>
          <w:sz w:val="28"/>
          <w:szCs w:val="28"/>
          <w:vertAlign w:val="superscript"/>
          <w:rtl/>
          <w:lang w:bidi="ar-IQ"/>
        </w:rPr>
        <w:t>.</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lastRenderedPageBreak/>
        <w:t xml:space="preserve">3 </w:t>
      </w:r>
      <w:r>
        <w:rPr>
          <w:rFonts w:ascii="Arial" w:hAnsi="Arial" w:cs="Arial"/>
          <w:sz w:val="28"/>
          <w:szCs w:val="28"/>
          <w:rtl/>
          <w:lang w:bidi="ar-IQ"/>
        </w:rPr>
        <w:t>–</w:t>
      </w:r>
      <w:r>
        <w:rPr>
          <w:rFonts w:ascii="Arial" w:hAnsi="Arial" w:cs="Arial" w:hint="cs"/>
          <w:sz w:val="28"/>
          <w:szCs w:val="28"/>
          <w:rtl/>
          <w:lang w:bidi="ar-IQ"/>
        </w:rPr>
        <w:t xml:space="preserve"> اعطاء الأولوية للناقل البحري الوطني لنقل البضائع المستوردة لحساب الوزارات والقطاع العام</w:t>
      </w:r>
      <w:r w:rsidRPr="000B29B1">
        <w:rPr>
          <w:rFonts w:ascii="Arial" w:hAnsi="Arial" w:cs="Arial" w:hint="cs"/>
          <w:sz w:val="28"/>
          <w:szCs w:val="28"/>
          <w:vertAlign w:val="superscript"/>
          <w:rtl/>
          <w:lang w:bidi="ar-IQ"/>
        </w:rPr>
        <w:t>(</w:t>
      </w:r>
      <w:r w:rsidRPr="000B29B1">
        <w:rPr>
          <w:rStyle w:val="FootnoteReference"/>
          <w:rFonts w:ascii="Arial" w:hAnsi="Arial" w:cs="Arial"/>
          <w:sz w:val="28"/>
          <w:szCs w:val="28"/>
          <w:rtl/>
          <w:lang w:bidi="ar-IQ"/>
        </w:rPr>
        <w:footnoteReference w:id="19"/>
      </w:r>
      <w:r w:rsidRPr="000B29B1">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CD0F66" w:rsidRDefault="00CD0F66" w:rsidP="00CD0F66">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4 </w:t>
      </w:r>
      <w:r>
        <w:rPr>
          <w:rFonts w:ascii="Arial" w:hAnsi="Arial" w:cs="Arial"/>
          <w:sz w:val="28"/>
          <w:szCs w:val="28"/>
          <w:rtl/>
          <w:lang w:bidi="ar-IQ"/>
        </w:rPr>
        <w:t>–</w:t>
      </w:r>
      <w:r>
        <w:rPr>
          <w:rFonts w:ascii="Arial" w:hAnsi="Arial" w:cs="Arial" w:hint="cs"/>
          <w:sz w:val="28"/>
          <w:szCs w:val="28"/>
          <w:rtl/>
          <w:lang w:bidi="ar-IQ"/>
        </w:rPr>
        <w:t xml:space="preserve"> استثناء تأسيس المصارف الاسلامية من تعليمات البنك المركزي العراقي الخاصة بزيادة رؤوس أموال المصارف</w:t>
      </w:r>
      <w:r w:rsidRPr="000B29B1">
        <w:rPr>
          <w:rFonts w:ascii="Arial" w:hAnsi="Arial" w:cs="Arial" w:hint="cs"/>
          <w:sz w:val="28"/>
          <w:szCs w:val="28"/>
          <w:vertAlign w:val="superscript"/>
          <w:rtl/>
          <w:lang w:bidi="ar-IQ"/>
        </w:rPr>
        <w:t>(</w:t>
      </w:r>
      <w:r w:rsidRPr="000B29B1">
        <w:rPr>
          <w:rStyle w:val="FootnoteReference"/>
          <w:rFonts w:ascii="Arial" w:hAnsi="Arial" w:cs="Arial"/>
          <w:sz w:val="28"/>
          <w:szCs w:val="28"/>
          <w:rtl/>
          <w:lang w:bidi="ar-IQ"/>
        </w:rPr>
        <w:footnoteReference w:id="20"/>
      </w:r>
      <w:r w:rsidRPr="000B29B1">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w:t>
      </w:r>
    </w:p>
    <w:p w:rsidR="00D30332" w:rsidRDefault="00CF7C73" w:rsidP="00CD0F66">
      <w:pPr>
        <w:bidi/>
        <w:rPr>
          <w:lang w:bidi="ar-IQ"/>
        </w:rPr>
      </w:pPr>
      <w:bookmarkStart w:id="0" w:name="_GoBack"/>
      <w:bookmarkEnd w:id="0"/>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73" w:rsidRDefault="00CF7C73" w:rsidP="00CD0F66">
      <w:pPr>
        <w:spacing w:after="0" w:line="240" w:lineRule="auto"/>
      </w:pPr>
      <w:r>
        <w:separator/>
      </w:r>
    </w:p>
  </w:endnote>
  <w:endnote w:type="continuationSeparator" w:id="0">
    <w:p w:rsidR="00CF7C73" w:rsidRDefault="00CF7C73" w:rsidP="00CD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73" w:rsidRDefault="00CF7C73" w:rsidP="00CD0F66">
      <w:pPr>
        <w:spacing w:after="0" w:line="240" w:lineRule="auto"/>
      </w:pPr>
      <w:r>
        <w:separator/>
      </w:r>
    </w:p>
  </w:footnote>
  <w:footnote w:type="continuationSeparator" w:id="0">
    <w:p w:rsidR="00CF7C73" w:rsidRDefault="00CF7C73" w:rsidP="00CD0F66">
      <w:pPr>
        <w:spacing w:after="0" w:line="240" w:lineRule="auto"/>
      </w:pPr>
      <w:r>
        <w:continuationSeparator/>
      </w:r>
    </w:p>
  </w:footnote>
  <w:footnote w:id="1">
    <w:p w:rsidR="00CD0F66" w:rsidRPr="00210A23" w:rsidRDefault="00CD0F66" w:rsidP="00CD0F66">
      <w:pPr>
        <w:tabs>
          <w:tab w:val="right" w:pos="9360"/>
        </w:tabs>
        <w:bidi/>
        <w:jc w:val="lowKashida"/>
        <w:rPr>
          <w:rFonts w:ascii="Arial" w:hAnsi="Arial" w:cs="Arial"/>
          <w:sz w:val="24"/>
          <w:szCs w:val="24"/>
          <w:rtl/>
          <w:lang w:bidi="ar-IQ"/>
        </w:rPr>
      </w:pPr>
      <w:r w:rsidRPr="00210A23">
        <w:rPr>
          <w:rFonts w:hint="cs"/>
          <w:sz w:val="24"/>
          <w:szCs w:val="24"/>
          <w:rtl/>
        </w:rPr>
        <w:t xml:space="preserve">( </w:t>
      </w:r>
      <w:r>
        <w:rPr>
          <w:rFonts w:hint="cs"/>
          <w:sz w:val="24"/>
          <w:szCs w:val="24"/>
          <w:rtl/>
        </w:rPr>
        <w:t>4</w:t>
      </w:r>
      <w:r w:rsidRPr="00210A23">
        <w:rPr>
          <w:rFonts w:hint="cs"/>
          <w:sz w:val="24"/>
          <w:szCs w:val="24"/>
          <w:rtl/>
        </w:rPr>
        <w:t xml:space="preserve">) </w:t>
      </w:r>
      <w:r w:rsidRPr="00210A23">
        <w:rPr>
          <w:rFonts w:ascii="Arial" w:hAnsi="Arial" w:cs="Arial" w:hint="cs"/>
          <w:sz w:val="24"/>
          <w:szCs w:val="24"/>
          <w:rtl/>
          <w:lang w:bidi="ar-IQ"/>
        </w:rPr>
        <w:t xml:space="preserve">الطعن رقم ( 5203 ) لسنة 43 ق جلسة 15 / 5 / 1995 منشور على الموقع </w:t>
      </w:r>
    </w:p>
    <w:p w:rsidR="00CD0F66" w:rsidRPr="00210A23" w:rsidRDefault="00CD0F66" w:rsidP="00CD0F66">
      <w:pPr>
        <w:pStyle w:val="ListParagraph"/>
        <w:tabs>
          <w:tab w:val="left" w:pos="3120"/>
          <w:tab w:val="right" w:pos="9360"/>
        </w:tabs>
        <w:bidi/>
        <w:ind w:left="429" w:hanging="141"/>
        <w:rPr>
          <w:rFonts w:ascii="Arial" w:hAnsi="Arial" w:cs="Arial"/>
          <w:sz w:val="24"/>
          <w:szCs w:val="24"/>
          <w:rtl/>
          <w:lang w:bidi="ar-IQ"/>
        </w:rPr>
      </w:pPr>
      <w:hyperlink r:id="rId1" w:history="1">
        <w:r w:rsidRPr="00210A23">
          <w:rPr>
            <w:rStyle w:val="Hyperlink"/>
            <w:rFonts w:ascii="Arial" w:hAnsi="Arial" w:cs="Arial"/>
            <w:sz w:val="24"/>
            <w:szCs w:val="24"/>
            <w:lang w:bidi="ar-IQ"/>
          </w:rPr>
          <w:t>www.samehbstway</w:t>
        </w:r>
      </w:hyperlink>
      <w:r w:rsidRPr="00210A23">
        <w:rPr>
          <w:rFonts w:ascii="Arial" w:hAnsi="Arial" w:cs="Arial"/>
          <w:sz w:val="24"/>
          <w:szCs w:val="24"/>
          <w:lang w:bidi="ar-IQ"/>
        </w:rPr>
        <w:t xml:space="preserve"> .ba7r.org</w:t>
      </w:r>
    </w:p>
    <w:p w:rsidR="00CD0F66" w:rsidRDefault="00CD0F66" w:rsidP="00CD0F66">
      <w:pPr>
        <w:pStyle w:val="FootnoteText"/>
        <w:bidi/>
        <w:rPr>
          <w:rtl/>
          <w:lang w:bidi="ar-IQ"/>
        </w:rPr>
      </w:pPr>
    </w:p>
  </w:footnote>
  <w:footnote w:id="2">
    <w:p w:rsidR="00CD0F66" w:rsidRPr="00210A23" w:rsidRDefault="00CD0F66" w:rsidP="00CD0F66">
      <w:pPr>
        <w:pStyle w:val="FootnoteText"/>
        <w:bidi/>
        <w:rPr>
          <w:rFonts w:ascii="Arial" w:hAnsi="Arial" w:cs="Arial"/>
          <w:sz w:val="24"/>
          <w:szCs w:val="24"/>
          <w:rtl/>
          <w:lang w:bidi="ar-IQ"/>
        </w:rPr>
      </w:pPr>
      <w:r w:rsidRPr="00210A23">
        <w:rPr>
          <w:rFonts w:ascii="Arial" w:hAnsi="Arial" w:cs="Arial"/>
          <w:sz w:val="24"/>
          <w:szCs w:val="24"/>
          <w:rtl/>
        </w:rPr>
        <w:t xml:space="preserve">( 1 ) </w:t>
      </w:r>
      <w:r w:rsidRPr="00210A23">
        <w:rPr>
          <w:rFonts w:ascii="Arial" w:hAnsi="Arial" w:cs="Arial"/>
          <w:sz w:val="24"/>
          <w:szCs w:val="24"/>
          <w:rtl/>
          <w:lang w:bidi="ar-IQ"/>
        </w:rPr>
        <w:t>تنظر الفقرة ( أولا ) من المادة ( 33 ) من قانون الموازنة العامة الإتحادية لجمهورية العراق للسنة المالية 2017 ، منشور في الوقائع العراقية عدد ( 4430 ) في 9 / 1 / 2017 . علما أن الإستقطاع المذكور فرض لأول مرة بنسبة          ( 3 % ) بموجب الفقرة ( أولا ) من المادة ( 39 ) من قانون الموازنة العامة للسنة المالية 2016 ، منشورة في الوقائع العراقية عدد ( 4394 ) في 18 / 1 / 2016 . وقد ألغى المشرع العراقي نسبة الإستقطاع البالغة ( 8و3 % ) من مجموع الرواتب والمخصصات من موظفي الدولة والقطاع العام والمتقاعدين كافة بموجب المادة ( 27 ) من قانون الموازنة العامة الإتحادية لجمهورية العراق للسنة المالية 2018 .</w:t>
      </w:r>
    </w:p>
    <w:p w:rsidR="00CD0F66" w:rsidRPr="00210A23" w:rsidRDefault="00CD0F66" w:rsidP="00CD0F66">
      <w:pPr>
        <w:pStyle w:val="FootnoteText"/>
        <w:bidi/>
        <w:rPr>
          <w:rFonts w:ascii="Arial" w:hAnsi="Arial" w:cs="Arial"/>
          <w:sz w:val="24"/>
          <w:szCs w:val="24"/>
          <w:rtl/>
          <w:lang w:bidi="ar-IQ"/>
        </w:rPr>
      </w:pPr>
    </w:p>
  </w:footnote>
  <w:footnote w:id="3">
    <w:p w:rsidR="00CD0F66" w:rsidRPr="00210A23" w:rsidRDefault="00CD0F66" w:rsidP="00CD0F66">
      <w:pPr>
        <w:pStyle w:val="FootnoteText"/>
        <w:bidi/>
        <w:rPr>
          <w:rFonts w:ascii="Arial" w:hAnsi="Arial" w:cs="Arial"/>
          <w:sz w:val="24"/>
          <w:szCs w:val="24"/>
          <w:rtl/>
        </w:rPr>
      </w:pPr>
      <w:r w:rsidRPr="00210A23">
        <w:rPr>
          <w:rFonts w:ascii="Arial" w:hAnsi="Arial" w:cs="Arial"/>
          <w:sz w:val="24"/>
          <w:szCs w:val="24"/>
          <w:rtl/>
        </w:rPr>
        <w:t>( 2 )</w:t>
      </w:r>
      <w:r w:rsidRPr="00210A23">
        <w:rPr>
          <w:rFonts w:ascii="Arial" w:hAnsi="Arial" w:cs="Arial"/>
          <w:sz w:val="24"/>
          <w:szCs w:val="24"/>
          <w:rtl/>
          <w:lang w:bidi="ar-IQ"/>
        </w:rPr>
        <w:t xml:space="preserve"> ينظر البند ( أ ) من الفقرة ( أولا ) من المادة ( 18 ) من قانون الموازنة العامة للسنة المالية 2019 ، والفقرة ( أولا ) من المادة ( 17 ) من من قانون الموازنة العامة الاتحادية لجمهورية العراق للسنة المالية 2018 ، والفقرة ( أولا) من المادة ( 23 ) من قانون الموازنة العامة العراقية للسنة المالية 2017 .</w:t>
      </w:r>
      <w:r w:rsidRPr="00210A23">
        <w:rPr>
          <w:rFonts w:ascii="Arial" w:hAnsi="Arial" w:cs="Arial"/>
          <w:sz w:val="24"/>
          <w:szCs w:val="24"/>
          <w:rtl/>
        </w:rPr>
        <w:t xml:space="preserve"> </w:t>
      </w:r>
    </w:p>
    <w:p w:rsidR="00CD0F66" w:rsidRPr="00210A23" w:rsidRDefault="00CD0F66" w:rsidP="00CD0F66">
      <w:pPr>
        <w:pStyle w:val="FootnoteText"/>
        <w:bidi/>
        <w:rPr>
          <w:rFonts w:ascii="Arial" w:hAnsi="Arial" w:cs="Arial"/>
          <w:sz w:val="24"/>
          <w:szCs w:val="24"/>
          <w:rtl/>
          <w:lang w:bidi="ar-IQ"/>
        </w:rPr>
      </w:pPr>
    </w:p>
  </w:footnote>
  <w:footnote w:id="4">
    <w:p w:rsidR="00CD0F66" w:rsidRPr="00210A23" w:rsidRDefault="00CD0F66" w:rsidP="00CD0F66">
      <w:pPr>
        <w:pStyle w:val="FootnoteText"/>
        <w:bidi/>
        <w:rPr>
          <w:rFonts w:ascii="Arial" w:hAnsi="Arial" w:cs="Arial"/>
          <w:sz w:val="24"/>
          <w:szCs w:val="24"/>
          <w:rtl/>
        </w:rPr>
      </w:pPr>
      <w:r w:rsidRPr="00210A23">
        <w:rPr>
          <w:rFonts w:ascii="Arial" w:hAnsi="Arial" w:cs="Arial"/>
          <w:sz w:val="24"/>
          <w:szCs w:val="24"/>
          <w:rtl/>
        </w:rPr>
        <w:t xml:space="preserve">( </w:t>
      </w:r>
      <w:r>
        <w:rPr>
          <w:rFonts w:ascii="Arial" w:hAnsi="Arial" w:cs="Arial" w:hint="cs"/>
          <w:sz w:val="24"/>
          <w:szCs w:val="24"/>
          <w:rtl/>
        </w:rPr>
        <w:t>3</w:t>
      </w:r>
      <w:r w:rsidRPr="00210A23">
        <w:rPr>
          <w:rFonts w:ascii="Arial" w:hAnsi="Arial" w:cs="Arial"/>
          <w:sz w:val="24"/>
          <w:szCs w:val="24"/>
          <w:rtl/>
        </w:rPr>
        <w:t xml:space="preserve"> ) </w:t>
      </w:r>
      <w:r w:rsidRPr="00210A23">
        <w:rPr>
          <w:rFonts w:ascii="Arial" w:hAnsi="Arial" w:cs="Arial"/>
          <w:sz w:val="24"/>
          <w:szCs w:val="24"/>
          <w:rtl/>
          <w:lang w:bidi="ar-IQ"/>
        </w:rPr>
        <w:t>تنظر الفقرة ( ثانيا ) من المادة ( 18 ) من قانون الموازنة العامة لسنة 2019 والفقرة ( رابعا ) من المادة ( 17 ) من قانون الموازنة العامة الاتحادية لجمهورية العراق للسنة المالية 2018 والفقرة ( ثانيا ) من المادة ( 23 ) من قانون الموازنة العامة للسنة المالية 2017 . علما أن الرسم المذكور فرض لأول مرة بموجب الفقرة ( أ ) من المادة ( 33 ) من قانون الموازنة للسنة المالية 2015  ، وتكرر الفرض بموجب الفقرة ( أ ) من المادة ( 24 ) من قانون الموازنة للسنة المالية 2016 .</w:t>
      </w:r>
      <w:r w:rsidRPr="00210A23">
        <w:rPr>
          <w:rFonts w:ascii="Arial" w:hAnsi="Arial" w:cs="Arial"/>
          <w:sz w:val="24"/>
          <w:szCs w:val="24"/>
          <w:rtl/>
        </w:rPr>
        <w:t xml:space="preserve">  </w:t>
      </w:r>
    </w:p>
    <w:p w:rsidR="00CD0F66" w:rsidRPr="00210A23" w:rsidRDefault="00CD0F66" w:rsidP="00CD0F66">
      <w:pPr>
        <w:pStyle w:val="FootnoteText"/>
        <w:bidi/>
        <w:rPr>
          <w:rFonts w:ascii="Arial" w:hAnsi="Arial" w:cs="Arial"/>
          <w:sz w:val="24"/>
          <w:szCs w:val="24"/>
          <w:rtl/>
          <w:lang w:bidi="ar-IQ"/>
        </w:rPr>
      </w:pPr>
    </w:p>
  </w:footnote>
  <w:footnote w:id="5">
    <w:p w:rsidR="00CD0F66" w:rsidRPr="00210A23" w:rsidRDefault="00CD0F66" w:rsidP="00CD0F66">
      <w:pPr>
        <w:pStyle w:val="FootnoteText"/>
        <w:bidi/>
        <w:rPr>
          <w:rFonts w:ascii="Arial" w:hAnsi="Arial" w:cs="Arial"/>
          <w:sz w:val="24"/>
          <w:szCs w:val="24"/>
          <w:rtl/>
        </w:rPr>
      </w:pPr>
      <w:r w:rsidRPr="00210A23">
        <w:rPr>
          <w:rFonts w:ascii="Arial" w:hAnsi="Arial" w:cs="Arial"/>
          <w:sz w:val="24"/>
          <w:szCs w:val="24"/>
          <w:rtl/>
        </w:rPr>
        <w:t xml:space="preserve">( </w:t>
      </w:r>
      <w:r>
        <w:rPr>
          <w:rFonts w:ascii="Arial" w:hAnsi="Arial" w:cs="Arial" w:hint="cs"/>
          <w:sz w:val="24"/>
          <w:szCs w:val="24"/>
          <w:rtl/>
        </w:rPr>
        <w:t>4</w:t>
      </w:r>
      <w:r w:rsidRPr="00210A23">
        <w:rPr>
          <w:rFonts w:ascii="Arial" w:hAnsi="Arial" w:cs="Arial"/>
          <w:sz w:val="24"/>
          <w:szCs w:val="24"/>
          <w:rtl/>
        </w:rPr>
        <w:t xml:space="preserve"> ) تنظر المادة ( 37 ) من قانون الموازنة العامة الاتحادية لجمهورية العراق للسنة المالية 2017 . علما أن قانون موازنة 2018 ، وقانون موازنة 2018 جاءا خاليين من نص مماثل يتضمن الزيادة المذكورة مما يعني العودة إلى تطبيق النص الأصلي الوارد في قانون ضريبة العقار المعدل النافذ لسنة 1959 .</w:t>
      </w:r>
    </w:p>
    <w:p w:rsidR="00CD0F66" w:rsidRPr="00CA6C42" w:rsidRDefault="00CD0F66" w:rsidP="00CD0F66">
      <w:pPr>
        <w:pStyle w:val="FootnoteText"/>
        <w:bidi/>
        <w:rPr>
          <w:rFonts w:ascii="Arial" w:hAnsi="Arial" w:cs="Arial"/>
          <w:sz w:val="24"/>
          <w:szCs w:val="24"/>
          <w:rtl/>
          <w:lang w:bidi="ar-IQ"/>
        </w:rPr>
      </w:pPr>
    </w:p>
  </w:footnote>
  <w:footnote w:id="6">
    <w:p w:rsidR="00CD0F66" w:rsidRPr="00C07474" w:rsidRDefault="00CD0F66" w:rsidP="00CD0F66">
      <w:pPr>
        <w:bidi/>
        <w:jc w:val="lowKashida"/>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5</w:t>
      </w:r>
      <w:r w:rsidRPr="00C07474">
        <w:rPr>
          <w:rFonts w:ascii="Arial" w:hAnsi="Arial" w:cs="Arial"/>
          <w:sz w:val="24"/>
          <w:szCs w:val="24"/>
          <w:rtl/>
        </w:rPr>
        <w:t xml:space="preserve"> ) </w:t>
      </w:r>
      <w:r w:rsidRPr="00C07474">
        <w:rPr>
          <w:rFonts w:ascii="Arial" w:hAnsi="Arial" w:cs="Arial"/>
          <w:sz w:val="24"/>
          <w:szCs w:val="24"/>
          <w:rtl/>
          <w:lang w:bidi="ar-IQ"/>
        </w:rPr>
        <w:t>تنظر الفقرة ( أولا ) من المادة ( 20 ) من قانون الموازنة العامة الإتحادية للسنة المالية 2008 منشور في الوقائع عدد ( 4067  ) في 13 / 3 / 2008 .</w:t>
      </w:r>
    </w:p>
    <w:p w:rsidR="00CD0F66" w:rsidRPr="00C07474" w:rsidRDefault="00CD0F66" w:rsidP="00CD0F66">
      <w:pPr>
        <w:pStyle w:val="FootnoteText"/>
        <w:bidi/>
        <w:rPr>
          <w:rFonts w:ascii="Arial" w:hAnsi="Arial" w:cs="Arial"/>
          <w:sz w:val="24"/>
          <w:szCs w:val="24"/>
          <w:rtl/>
          <w:lang w:bidi="ar-IQ"/>
        </w:rPr>
      </w:pPr>
    </w:p>
  </w:footnote>
  <w:footnote w:id="7">
    <w:p w:rsidR="00CD0F66" w:rsidRPr="00C07474" w:rsidRDefault="00CD0F66" w:rsidP="00CD0F66">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1</w:t>
      </w:r>
      <w:r w:rsidRPr="00C07474">
        <w:rPr>
          <w:rFonts w:ascii="Arial" w:hAnsi="Arial" w:cs="Arial"/>
          <w:sz w:val="24"/>
          <w:szCs w:val="24"/>
          <w:rtl/>
        </w:rPr>
        <w:t xml:space="preserve"> ) تنظر المادة ( 36 ) من قانون الموازنة العامة الاتحادية للسنة المالية 2017 .</w:t>
      </w:r>
    </w:p>
    <w:p w:rsidR="00CD0F66" w:rsidRPr="00C07474" w:rsidRDefault="00CD0F66" w:rsidP="00CD0F66">
      <w:pPr>
        <w:pStyle w:val="FootnoteText"/>
        <w:bidi/>
        <w:rPr>
          <w:rFonts w:ascii="Arial" w:hAnsi="Arial" w:cs="Arial"/>
          <w:sz w:val="24"/>
          <w:szCs w:val="24"/>
          <w:rtl/>
          <w:lang w:bidi="ar-IQ"/>
        </w:rPr>
      </w:pPr>
    </w:p>
  </w:footnote>
  <w:footnote w:id="8">
    <w:p w:rsidR="00CD0F66" w:rsidRPr="00C07474" w:rsidRDefault="00CD0F66" w:rsidP="00CD0F66">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2</w:t>
      </w:r>
      <w:r w:rsidRPr="00C07474">
        <w:rPr>
          <w:rFonts w:ascii="Arial" w:hAnsi="Arial" w:cs="Arial"/>
          <w:sz w:val="24"/>
          <w:szCs w:val="24"/>
          <w:rtl/>
        </w:rPr>
        <w:t xml:space="preserve"> ) </w:t>
      </w:r>
      <w:r w:rsidRPr="00C07474">
        <w:rPr>
          <w:rFonts w:ascii="Arial" w:hAnsi="Arial" w:cs="Arial"/>
          <w:sz w:val="24"/>
          <w:szCs w:val="24"/>
          <w:rtl/>
          <w:lang w:bidi="ar-IQ"/>
        </w:rPr>
        <w:t>تنظر الفقرة ( رابعا ) من المادة ( 32 ) من قانون الموازنة العامة الإتحادية للسنة المالية 2017 . كذلك الفقرة          ( رابعا ) من المادة ( 26 ) من قانون الموازنة العامة الاتحادية العراقية للسنة المالية 2018 .</w:t>
      </w:r>
    </w:p>
    <w:p w:rsidR="00CD0F66" w:rsidRPr="00C07474" w:rsidRDefault="00CD0F66" w:rsidP="00CD0F66">
      <w:pPr>
        <w:pStyle w:val="FootnoteText"/>
        <w:bidi/>
        <w:rPr>
          <w:rFonts w:ascii="Arial" w:hAnsi="Arial" w:cs="Arial"/>
          <w:sz w:val="24"/>
          <w:szCs w:val="24"/>
          <w:rtl/>
          <w:lang w:bidi="ar-IQ"/>
        </w:rPr>
      </w:pPr>
    </w:p>
  </w:footnote>
  <w:footnote w:id="9">
    <w:p w:rsidR="00CD0F66" w:rsidRPr="00C07474" w:rsidRDefault="00CD0F66" w:rsidP="00CD0F66">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3</w:t>
      </w:r>
      <w:r w:rsidRPr="00C07474">
        <w:rPr>
          <w:rFonts w:ascii="Arial" w:hAnsi="Arial" w:cs="Arial"/>
          <w:sz w:val="24"/>
          <w:szCs w:val="24"/>
          <w:rtl/>
        </w:rPr>
        <w:t xml:space="preserve"> ) </w:t>
      </w:r>
      <w:r w:rsidRPr="00C07474">
        <w:rPr>
          <w:rFonts w:ascii="Arial" w:hAnsi="Arial" w:cs="Arial"/>
          <w:sz w:val="24"/>
          <w:szCs w:val="24"/>
          <w:rtl/>
          <w:lang w:bidi="ar-IQ"/>
        </w:rPr>
        <w:t>ينظر البند ( أ ) من الفقرة ( ثانيا ) من المادة ( 30 ) من قانون الموازنة العامة لسنة 2019 ، والبند ( أ ) من الفقرة    ( خامسا ) من المادة ( 26 ) من قانون الموازنة الاتحادية للسنة المالية 2018 . والفقرة (رابعا ) من المادة ( 32 ) من قانون الموازنة لسنة 2017 .</w:t>
      </w:r>
    </w:p>
    <w:p w:rsidR="00CD0F66" w:rsidRPr="00C07474" w:rsidRDefault="00CD0F66" w:rsidP="00CD0F66">
      <w:pPr>
        <w:pStyle w:val="FootnoteText"/>
        <w:bidi/>
        <w:rPr>
          <w:rFonts w:ascii="Arial" w:hAnsi="Arial" w:cs="Arial"/>
          <w:sz w:val="24"/>
          <w:szCs w:val="24"/>
          <w:rtl/>
          <w:lang w:bidi="ar-IQ"/>
        </w:rPr>
      </w:pPr>
    </w:p>
  </w:footnote>
  <w:footnote w:id="10">
    <w:p w:rsidR="00CD0F66" w:rsidRPr="00C07474" w:rsidRDefault="00CD0F66" w:rsidP="00CD0F66">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4</w:t>
      </w:r>
      <w:r w:rsidRPr="00C07474">
        <w:rPr>
          <w:rFonts w:ascii="Arial" w:hAnsi="Arial" w:cs="Arial"/>
          <w:sz w:val="24"/>
          <w:szCs w:val="24"/>
          <w:rtl/>
        </w:rPr>
        <w:t xml:space="preserve"> ) </w:t>
      </w:r>
      <w:r w:rsidRPr="00C07474">
        <w:rPr>
          <w:rFonts w:ascii="Arial" w:hAnsi="Arial" w:cs="Arial"/>
          <w:sz w:val="24"/>
          <w:szCs w:val="24"/>
          <w:rtl/>
          <w:lang w:bidi="ar-IQ"/>
        </w:rPr>
        <w:t>ينظر البند ( أ ) من الفقرة ( خامسا ) من المادة ( 32 ) من قانون الموازنة لسنة 2017 ، والبند ( أ ) من الفقرة           ( خامسا ) من المادة ( 26 ) من قانون الموازنة الاتحادية للسنة المالية 2018 .</w:t>
      </w:r>
    </w:p>
    <w:p w:rsidR="00CD0F66" w:rsidRDefault="00CD0F66" w:rsidP="00CD0F66">
      <w:pPr>
        <w:pStyle w:val="FootnoteText"/>
        <w:bidi/>
        <w:rPr>
          <w:rtl/>
          <w:lang w:bidi="ar-IQ"/>
        </w:rPr>
      </w:pPr>
    </w:p>
  </w:footnote>
  <w:footnote w:id="11">
    <w:p w:rsidR="00CD0F66" w:rsidRPr="00C07474" w:rsidRDefault="00CD0F66" w:rsidP="00CD0F66">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5</w:t>
      </w:r>
      <w:r w:rsidRPr="00C07474">
        <w:rPr>
          <w:rFonts w:ascii="Arial" w:hAnsi="Arial" w:cs="Arial"/>
          <w:sz w:val="24"/>
          <w:szCs w:val="24"/>
          <w:rtl/>
        </w:rPr>
        <w:t xml:space="preserve"> )  </w:t>
      </w:r>
      <w:r w:rsidRPr="00C07474">
        <w:rPr>
          <w:rFonts w:ascii="Arial" w:hAnsi="Arial" w:cs="Arial"/>
          <w:sz w:val="24"/>
          <w:szCs w:val="24"/>
          <w:rtl/>
          <w:lang w:bidi="ar-IQ"/>
        </w:rPr>
        <w:t>تنظر المادة ( 41 ) من قانون الموازنة لسنة 2017 . علما أن المشرع سبق أن أورد النص ذاته في المادة ( 28 ) من موازنة سنة 2015 ، وهذا يعد من الأمور المعيبة ؛ لأنه لا يجوز النص مرتين على تأسيس شخص معنوي واحد .</w:t>
      </w:r>
    </w:p>
    <w:p w:rsidR="00CD0F66" w:rsidRPr="00C07474" w:rsidRDefault="00CD0F66" w:rsidP="00CD0F66">
      <w:pPr>
        <w:pStyle w:val="FootnoteText"/>
        <w:bidi/>
        <w:rPr>
          <w:rFonts w:ascii="Arial" w:hAnsi="Arial" w:cs="Arial"/>
          <w:sz w:val="24"/>
          <w:szCs w:val="24"/>
          <w:rtl/>
          <w:lang w:bidi="ar-IQ"/>
        </w:rPr>
      </w:pPr>
    </w:p>
  </w:footnote>
  <w:footnote w:id="12">
    <w:p w:rsidR="00CD0F66" w:rsidRPr="00C07474" w:rsidRDefault="00CD0F66" w:rsidP="00CD0F66">
      <w:pPr>
        <w:bidi/>
        <w:jc w:val="lowKashida"/>
        <w:rPr>
          <w:rFonts w:ascii="Arial" w:hAnsi="Arial" w:cs="Arial"/>
          <w:sz w:val="24"/>
          <w:szCs w:val="24"/>
          <w:rtl/>
          <w:lang w:bidi="ar-IQ"/>
        </w:rPr>
      </w:pPr>
      <w:r w:rsidRPr="00C07474">
        <w:rPr>
          <w:rFonts w:ascii="Arial" w:hAnsi="Arial" w:cs="Arial"/>
          <w:sz w:val="24"/>
          <w:szCs w:val="24"/>
          <w:rtl/>
          <w:lang w:bidi="ar-IQ"/>
        </w:rPr>
        <w:t xml:space="preserve">( </w:t>
      </w:r>
      <w:r>
        <w:rPr>
          <w:rFonts w:ascii="Arial" w:hAnsi="Arial" w:cs="Arial" w:hint="cs"/>
          <w:sz w:val="24"/>
          <w:szCs w:val="24"/>
          <w:rtl/>
          <w:lang w:bidi="ar-IQ"/>
        </w:rPr>
        <w:t>6</w:t>
      </w:r>
      <w:r w:rsidRPr="00C07474">
        <w:rPr>
          <w:rFonts w:ascii="Arial" w:hAnsi="Arial" w:cs="Arial"/>
          <w:sz w:val="24"/>
          <w:szCs w:val="24"/>
          <w:rtl/>
          <w:lang w:bidi="ar-IQ"/>
        </w:rPr>
        <w:t>) تنظر الفقرة ( أولا) من المادة ( 14 ) من قانون الموازنة العامة الاتحادية للسنة المالية 2019 ، والفقرة ( أ ) من المادة    ( 18 ) من قانون الموازنة لسنة 2017 .</w:t>
      </w:r>
    </w:p>
  </w:footnote>
  <w:footnote w:id="13">
    <w:p w:rsidR="00CD0F66" w:rsidRPr="00C07474" w:rsidRDefault="00CD0F66" w:rsidP="00CD0F66">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1</w:t>
      </w:r>
      <w:r w:rsidRPr="00C07474">
        <w:rPr>
          <w:rFonts w:ascii="Arial" w:hAnsi="Arial" w:cs="Arial"/>
          <w:sz w:val="24"/>
          <w:szCs w:val="24"/>
          <w:rtl/>
        </w:rPr>
        <w:t xml:space="preserve"> ) تنظر ( أولا ) من المادة ( 29 ) من قانون الموازنة العامة للسنة المالية 2018 ، و الفقرة (أولا ) من المادة ( 38 ) من قانون الموازنة العامة للسنة المالية 2017 التي كانت تحتسب الاجازة لمدة أربع سنوات.</w:t>
      </w:r>
    </w:p>
    <w:p w:rsidR="00CD0F66" w:rsidRPr="00C07474" w:rsidRDefault="00CD0F66" w:rsidP="00CD0F66">
      <w:pPr>
        <w:pStyle w:val="FootnoteText"/>
        <w:bidi/>
        <w:rPr>
          <w:rFonts w:ascii="Arial" w:hAnsi="Arial" w:cs="Arial"/>
          <w:sz w:val="24"/>
          <w:szCs w:val="24"/>
          <w:rtl/>
        </w:rPr>
      </w:pPr>
    </w:p>
  </w:footnote>
  <w:footnote w:id="14">
    <w:p w:rsidR="00CD0F66" w:rsidRPr="00C07474" w:rsidRDefault="00CD0F66" w:rsidP="00CD0F66">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2</w:t>
      </w:r>
      <w:r w:rsidRPr="00C07474">
        <w:rPr>
          <w:rFonts w:ascii="Arial" w:hAnsi="Arial" w:cs="Arial"/>
          <w:sz w:val="24"/>
          <w:szCs w:val="24"/>
          <w:rtl/>
        </w:rPr>
        <w:t>) تنظر الفقرة ( ثالثا ) من المادة ( 36 ) من قانون الموازنة العامة لسنة 2018 .</w:t>
      </w:r>
    </w:p>
  </w:footnote>
  <w:footnote w:id="15">
    <w:p w:rsidR="00CD0F66" w:rsidRPr="00C07474" w:rsidRDefault="00CD0F66" w:rsidP="00CD0F66">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3</w:t>
      </w:r>
      <w:r w:rsidRPr="00C07474">
        <w:rPr>
          <w:rFonts w:ascii="Arial" w:hAnsi="Arial" w:cs="Arial"/>
          <w:sz w:val="24"/>
          <w:szCs w:val="24"/>
          <w:rtl/>
        </w:rPr>
        <w:t xml:space="preserve"> ) تنظر الفقرة ( ثانيا ) من المادة ( 64 ) من قانون الموازنة العامة للسنة المالية 2019 .</w:t>
      </w:r>
    </w:p>
  </w:footnote>
  <w:footnote w:id="16">
    <w:p w:rsidR="00CD0F66" w:rsidRPr="00C07474" w:rsidRDefault="00CD0F66" w:rsidP="00CD0F66">
      <w:pPr>
        <w:bidi/>
        <w:jc w:val="lowKashida"/>
        <w:rPr>
          <w:rFonts w:ascii="Arial" w:hAnsi="Arial" w:cs="Arial"/>
          <w:sz w:val="24"/>
          <w:szCs w:val="24"/>
          <w:rtl/>
          <w:lang w:bidi="ar-IQ"/>
        </w:rPr>
      </w:pPr>
      <w:r w:rsidRPr="00E52FBA">
        <w:rPr>
          <w:rFonts w:ascii="Arial" w:hAnsi="Arial" w:cs="Arial"/>
          <w:sz w:val="24"/>
          <w:szCs w:val="24"/>
          <w:rtl/>
        </w:rPr>
        <w:t>(</w:t>
      </w:r>
      <w:r>
        <w:rPr>
          <w:rStyle w:val="FootnoteReference"/>
          <w:rFonts w:ascii="Arial" w:hAnsi="Arial" w:cs="Arial" w:hint="cs"/>
          <w:sz w:val="24"/>
          <w:szCs w:val="24"/>
          <w:rtl/>
        </w:rPr>
        <w:t>4</w:t>
      </w:r>
      <w:r w:rsidRPr="00E52FBA">
        <w:rPr>
          <w:rFonts w:ascii="Arial" w:hAnsi="Arial" w:cs="Arial"/>
          <w:sz w:val="24"/>
          <w:szCs w:val="24"/>
          <w:rtl/>
        </w:rPr>
        <w:t>)</w:t>
      </w:r>
      <w:r w:rsidRPr="00C07474">
        <w:rPr>
          <w:rFonts w:ascii="Arial" w:hAnsi="Arial" w:cs="Arial"/>
          <w:sz w:val="24"/>
          <w:szCs w:val="24"/>
          <w:rtl/>
        </w:rPr>
        <w:t xml:space="preserve"> </w:t>
      </w:r>
      <w:r w:rsidRPr="00C07474">
        <w:rPr>
          <w:rFonts w:ascii="Arial" w:hAnsi="Arial" w:cs="Arial"/>
          <w:sz w:val="24"/>
          <w:szCs w:val="24"/>
          <w:rtl/>
          <w:lang w:bidi="ar-IQ"/>
        </w:rPr>
        <w:t>ينظر البند (ج ) من الفقرة (أولا ) من المادة ( 9 ) من قانون الموازنة لسنة 2017 .</w:t>
      </w:r>
    </w:p>
    <w:p w:rsidR="00CD0F66" w:rsidRPr="00C07474" w:rsidRDefault="00CD0F66" w:rsidP="00CD0F66">
      <w:pPr>
        <w:pStyle w:val="FootnoteText"/>
        <w:bidi/>
        <w:jc w:val="center"/>
        <w:rPr>
          <w:rFonts w:ascii="Arial" w:hAnsi="Arial" w:cs="Arial"/>
          <w:sz w:val="24"/>
          <w:szCs w:val="24"/>
          <w:rtl/>
          <w:lang w:bidi="ar-IQ"/>
        </w:rPr>
      </w:pPr>
    </w:p>
  </w:footnote>
  <w:footnote w:id="17">
    <w:p w:rsidR="00CD0F66" w:rsidRPr="00EA773B" w:rsidRDefault="00CD0F66" w:rsidP="00CD0F66">
      <w:pPr>
        <w:bidi/>
        <w:jc w:val="lowKashida"/>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5</w:t>
      </w:r>
      <w:r w:rsidRPr="00C07474">
        <w:rPr>
          <w:rFonts w:ascii="Arial" w:hAnsi="Arial" w:cs="Arial"/>
          <w:sz w:val="24"/>
          <w:szCs w:val="24"/>
          <w:rtl/>
        </w:rPr>
        <w:t xml:space="preserve"> ) </w:t>
      </w:r>
      <w:r w:rsidRPr="00C07474">
        <w:rPr>
          <w:rFonts w:ascii="Arial" w:hAnsi="Arial" w:cs="Arial"/>
          <w:sz w:val="24"/>
          <w:szCs w:val="24"/>
          <w:rtl/>
          <w:lang w:bidi="ar-IQ"/>
        </w:rPr>
        <w:t>تنظر الفقرة ( سادسا ) من المادة ( 14 ) من قانون الموازنة لسنة 2017  .</w:t>
      </w:r>
    </w:p>
  </w:footnote>
  <w:footnote w:id="18">
    <w:p w:rsidR="00CD0F66" w:rsidRPr="00C07474" w:rsidRDefault="00CD0F66" w:rsidP="00CD0F66">
      <w:pPr>
        <w:pStyle w:val="FootnoteText"/>
        <w:bidi/>
        <w:rPr>
          <w:rFonts w:ascii="Arial" w:hAnsi="Arial" w:cs="Arial"/>
          <w:sz w:val="24"/>
          <w:szCs w:val="24"/>
          <w:rtl/>
          <w:lang w:bidi="ar-IQ"/>
        </w:rPr>
      </w:pPr>
      <w:r w:rsidRPr="00C07474">
        <w:rPr>
          <w:rFonts w:ascii="Arial" w:hAnsi="Arial" w:cs="Arial"/>
          <w:sz w:val="24"/>
          <w:szCs w:val="24"/>
          <w:rtl/>
        </w:rPr>
        <w:t xml:space="preserve">( </w:t>
      </w:r>
      <w:r>
        <w:rPr>
          <w:rFonts w:ascii="Arial" w:hAnsi="Arial" w:cs="Arial" w:hint="cs"/>
          <w:sz w:val="24"/>
          <w:szCs w:val="24"/>
          <w:rtl/>
        </w:rPr>
        <w:t>6</w:t>
      </w:r>
      <w:r w:rsidRPr="00C07474">
        <w:rPr>
          <w:rFonts w:ascii="Arial" w:hAnsi="Arial" w:cs="Arial"/>
          <w:sz w:val="24"/>
          <w:szCs w:val="24"/>
          <w:rtl/>
        </w:rPr>
        <w:t xml:space="preserve"> ) تنظر الفقرة ( ثانيا ) من المادة ( 34 ) من قانون الموازنة  لسنة 2011 .</w:t>
      </w:r>
    </w:p>
    <w:p w:rsidR="00CD0F66" w:rsidRPr="00C07474" w:rsidRDefault="00CD0F66" w:rsidP="00CD0F66">
      <w:pPr>
        <w:pStyle w:val="FootnoteText"/>
        <w:bidi/>
        <w:rPr>
          <w:rFonts w:ascii="Arial" w:hAnsi="Arial" w:cs="Arial"/>
          <w:sz w:val="24"/>
          <w:szCs w:val="24"/>
          <w:rtl/>
          <w:lang w:bidi="ar-IQ"/>
        </w:rPr>
      </w:pPr>
    </w:p>
  </w:footnote>
  <w:footnote w:id="19">
    <w:p w:rsidR="00CD0F66" w:rsidRPr="00C07474" w:rsidRDefault="00CD0F66" w:rsidP="00CD0F66">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7</w:t>
      </w:r>
      <w:r w:rsidRPr="00C07474">
        <w:rPr>
          <w:rFonts w:ascii="Arial" w:hAnsi="Arial" w:cs="Arial"/>
          <w:sz w:val="24"/>
          <w:szCs w:val="24"/>
          <w:rtl/>
        </w:rPr>
        <w:t xml:space="preserve"> ) تنظر المادة ( 47 ) من قانون الموازنة العامة الاتحادية لجمهورية العراق للسنة  المالية 2015</w:t>
      </w:r>
    </w:p>
  </w:footnote>
  <w:footnote w:id="20">
    <w:p w:rsidR="00CD0F66" w:rsidRPr="00C07474" w:rsidRDefault="00CD0F66" w:rsidP="00CD0F66">
      <w:pPr>
        <w:pStyle w:val="FootnoteText"/>
        <w:bidi/>
        <w:rPr>
          <w:rFonts w:ascii="Arial" w:hAnsi="Arial" w:cs="Arial"/>
          <w:sz w:val="24"/>
          <w:szCs w:val="24"/>
          <w:rtl/>
        </w:rPr>
      </w:pPr>
      <w:r w:rsidRPr="00C07474">
        <w:rPr>
          <w:rFonts w:ascii="Arial" w:hAnsi="Arial" w:cs="Arial"/>
          <w:sz w:val="24"/>
          <w:szCs w:val="24"/>
          <w:rtl/>
        </w:rPr>
        <w:t xml:space="preserve">( </w:t>
      </w:r>
      <w:r>
        <w:rPr>
          <w:rFonts w:ascii="Arial" w:hAnsi="Arial" w:cs="Arial" w:hint="cs"/>
          <w:sz w:val="24"/>
          <w:szCs w:val="24"/>
          <w:rtl/>
        </w:rPr>
        <w:t>8</w:t>
      </w:r>
      <w:r w:rsidRPr="00C07474">
        <w:rPr>
          <w:rFonts w:ascii="Arial" w:hAnsi="Arial" w:cs="Arial"/>
          <w:sz w:val="24"/>
          <w:szCs w:val="24"/>
          <w:rtl/>
        </w:rPr>
        <w:t xml:space="preserve"> ) تنظر المادة ( 46 ) من قانون الموازنة العامة الاتحادية لجمهورية العراق للسنة المالية 2015 .</w:t>
      </w:r>
    </w:p>
    <w:p w:rsidR="00CD0F66" w:rsidRPr="00C07474" w:rsidRDefault="00CD0F66" w:rsidP="00CD0F66">
      <w:pPr>
        <w:pStyle w:val="FootnoteText"/>
        <w:bidi/>
        <w:rPr>
          <w:rFonts w:ascii="Arial" w:hAnsi="Arial" w:cs="Arial"/>
          <w:sz w:val="24"/>
          <w:szCs w:val="24"/>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66"/>
    <w:rsid w:val="005F5011"/>
    <w:rsid w:val="007C5B79"/>
    <w:rsid w:val="008B1A88"/>
    <w:rsid w:val="00CD0F66"/>
    <w:rsid w:val="00CF7C73"/>
    <w:rsid w:val="00DA2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66"/>
    <w:pPr>
      <w:ind w:left="720"/>
      <w:contextualSpacing/>
    </w:pPr>
  </w:style>
  <w:style w:type="character" w:styleId="Hyperlink">
    <w:name w:val="Hyperlink"/>
    <w:basedOn w:val="DefaultParagraphFont"/>
    <w:uiPriority w:val="99"/>
    <w:unhideWhenUsed/>
    <w:rsid w:val="00CD0F66"/>
    <w:rPr>
      <w:color w:val="0000FF" w:themeColor="hyperlink"/>
      <w:u w:val="single"/>
    </w:rPr>
  </w:style>
  <w:style w:type="paragraph" w:styleId="FootnoteText">
    <w:name w:val="footnote text"/>
    <w:basedOn w:val="Normal"/>
    <w:link w:val="FootnoteTextChar"/>
    <w:uiPriority w:val="99"/>
    <w:semiHidden/>
    <w:unhideWhenUsed/>
    <w:rsid w:val="00CD0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F66"/>
    <w:rPr>
      <w:sz w:val="20"/>
      <w:szCs w:val="20"/>
    </w:rPr>
  </w:style>
  <w:style w:type="character" w:styleId="FootnoteReference">
    <w:name w:val="footnote reference"/>
    <w:basedOn w:val="DefaultParagraphFont"/>
    <w:uiPriority w:val="99"/>
    <w:semiHidden/>
    <w:unhideWhenUsed/>
    <w:rsid w:val="00CD0F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66"/>
    <w:pPr>
      <w:ind w:left="720"/>
      <w:contextualSpacing/>
    </w:pPr>
  </w:style>
  <w:style w:type="character" w:styleId="Hyperlink">
    <w:name w:val="Hyperlink"/>
    <w:basedOn w:val="DefaultParagraphFont"/>
    <w:uiPriority w:val="99"/>
    <w:unhideWhenUsed/>
    <w:rsid w:val="00CD0F66"/>
    <w:rPr>
      <w:color w:val="0000FF" w:themeColor="hyperlink"/>
      <w:u w:val="single"/>
    </w:rPr>
  </w:style>
  <w:style w:type="paragraph" w:styleId="FootnoteText">
    <w:name w:val="footnote text"/>
    <w:basedOn w:val="Normal"/>
    <w:link w:val="FootnoteTextChar"/>
    <w:uiPriority w:val="99"/>
    <w:semiHidden/>
    <w:unhideWhenUsed/>
    <w:rsid w:val="00CD0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F66"/>
    <w:rPr>
      <w:sz w:val="20"/>
      <w:szCs w:val="20"/>
    </w:rPr>
  </w:style>
  <w:style w:type="character" w:styleId="FootnoteReference">
    <w:name w:val="footnote reference"/>
    <w:basedOn w:val="DefaultParagraphFont"/>
    <w:uiPriority w:val="99"/>
    <w:semiHidden/>
    <w:unhideWhenUsed/>
    <w:rsid w:val="00CD0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amehbst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1007</Words>
  <Characters>5746</Characters>
  <Application>Microsoft Office Word</Application>
  <DocSecurity>0</DocSecurity>
  <Lines>47</Lines>
  <Paragraphs>13</Paragraphs>
  <ScaleCrop>false</ScaleCrop>
  <Company>CtrlSoft</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2020-03-23T15:51:00Z</dcterms:created>
  <dcterms:modified xsi:type="dcterms:W3CDTF">2020-03-23T15:51:00Z</dcterms:modified>
</cp:coreProperties>
</file>