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2CCB" w:rsidRPr="00C92CCB" w:rsidRDefault="00C92CCB" w:rsidP="00C92CCB">
      <w:pPr>
        <w:bidi w:val="0"/>
        <w:spacing w:after="160" w:line="259" w:lineRule="auto"/>
        <w:jc w:val="right"/>
        <w:rPr>
          <w:rFonts w:ascii="Arial" w:eastAsia="Calibri" w:hAnsi="Arial" w:cs="Arial"/>
          <w:sz w:val="28"/>
          <w:szCs w:val="28"/>
          <w:rtl/>
          <w:lang w:bidi="ar-IQ"/>
        </w:rPr>
      </w:pPr>
    </w:p>
    <w:p w:rsidR="00C92CCB" w:rsidRPr="00C92CCB" w:rsidRDefault="00C92CCB" w:rsidP="00C92CCB">
      <w:pPr>
        <w:bidi w:val="0"/>
        <w:spacing w:after="160" w:line="259" w:lineRule="auto"/>
        <w:jc w:val="right"/>
        <w:rPr>
          <w:rFonts w:ascii="Arial" w:eastAsia="Calibri" w:hAnsi="Arial" w:cs="Arial"/>
          <w:b/>
          <w:bCs/>
          <w:sz w:val="28"/>
          <w:szCs w:val="28"/>
          <w:rtl/>
          <w:lang w:bidi="ar-IQ"/>
        </w:rPr>
      </w:pPr>
      <w:r w:rsidRPr="00C92CCB">
        <w:rPr>
          <w:rFonts w:ascii="Arial" w:eastAsia="Calibri" w:hAnsi="Arial" w:cs="Arial" w:hint="cs"/>
          <w:b/>
          <w:bCs/>
          <w:sz w:val="28"/>
          <w:szCs w:val="28"/>
          <w:rtl/>
          <w:lang w:bidi="ar-IQ"/>
        </w:rPr>
        <w:t>الكسائي ت 189 هــ</w:t>
      </w:r>
    </w:p>
    <w:p w:rsidR="00C92CCB" w:rsidRPr="00C92CCB" w:rsidRDefault="00C92CCB" w:rsidP="00C92CCB">
      <w:pPr>
        <w:bidi w:val="0"/>
        <w:spacing w:after="160" w:line="259" w:lineRule="auto"/>
        <w:jc w:val="right"/>
        <w:rPr>
          <w:rFonts w:ascii="Arial" w:eastAsia="Calibri" w:hAnsi="Arial" w:cs="Arial"/>
          <w:sz w:val="28"/>
          <w:szCs w:val="28"/>
          <w:rtl/>
          <w:lang w:bidi="ar-IQ"/>
        </w:rPr>
      </w:pPr>
      <w:r w:rsidRPr="00C92CCB">
        <w:rPr>
          <w:rFonts w:ascii="Arial" w:eastAsia="Calibri" w:hAnsi="Arial" w:cs="Arial" w:hint="cs"/>
          <w:sz w:val="28"/>
          <w:szCs w:val="28"/>
          <w:rtl/>
          <w:lang w:bidi="ar-IQ"/>
        </w:rPr>
        <w:t xml:space="preserve">      وهو علي بن حمزة الكسائي مولى بني أسد من الكوفة ودخلها وهو شاب وفيها نشأ وتعلم على أيدي كبار علماءها في حلقات الدرس ومجالسه في المسجد الجامع فأخذ من معاذ بن مسلم الهراء وأبي جعفر </w:t>
      </w:r>
      <w:proofErr w:type="spellStart"/>
      <w:r w:rsidRPr="00C92CCB">
        <w:rPr>
          <w:rFonts w:ascii="Arial" w:eastAsia="Calibri" w:hAnsi="Arial" w:cs="Arial" w:hint="cs"/>
          <w:sz w:val="28"/>
          <w:szCs w:val="28"/>
          <w:rtl/>
          <w:lang w:bidi="ar-IQ"/>
        </w:rPr>
        <w:t>الرؤاسي،وتعلم</w:t>
      </w:r>
      <w:proofErr w:type="spellEnd"/>
      <w:r w:rsidRPr="00C92CCB">
        <w:rPr>
          <w:rFonts w:ascii="Arial" w:eastAsia="Calibri" w:hAnsi="Arial" w:cs="Arial" w:hint="cs"/>
          <w:sz w:val="28"/>
          <w:szCs w:val="28"/>
          <w:rtl/>
          <w:lang w:bidi="ar-IQ"/>
        </w:rPr>
        <w:t xml:space="preserve"> القراءة من حمزة بن حبيب الزيات (ت 156 هـ) واخذ مكانه في الأقراء بعد وفاته وهو أحد القراء الثلاثة من سبعة عدهم ابن مجاهد من القراء السبعة (راجع القراءات القرآنية)  بعد أن اخذ النحو من الهراء </w:t>
      </w:r>
      <w:proofErr w:type="spellStart"/>
      <w:r w:rsidRPr="00C92CCB">
        <w:rPr>
          <w:rFonts w:ascii="Arial" w:eastAsia="Calibri" w:hAnsi="Arial" w:cs="Arial" w:hint="cs"/>
          <w:sz w:val="28"/>
          <w:szCs w:val="28"/>
          <w:rtl/>
          <w:lang w:bidi="ar-IQ"/>
        </w:rPr>
        <w:t>والرؤاسي</w:t>
      </w:r>
      <w:proofErr w:type="spellEnd"/>
      <w:r w:rsidRPr="00C92CCB">
        <w:rPr>
          <w:rFonts w:ascii="Arial" w:eastAsia="Calibri" w:hAnsi="Arial" w:cs="Arial" w:hint="cs"/>
          <w:sz w:val="28"/>
          <w:szCs w:val="28"/>
          <w:rtl/>
          <w:lang w:bidi="ar-IQ"/>
        </w:rPr>
        <w:t xml:space="preserve"> لم يقتنع بهذا النحو كاكتمال فرحل ليجلس في حلقات الخليل في البصرة وتعلم منه واعجب بالخليل وعلمه وسعة اطلاعه وكثرة حفظه ووضوح مسائله وتطور اسسه وسأل الخليل ،من أين تعلم هذا؟</w:t>
      </w:r>
    </w:p>
    <w:p w:rsidR="00C92CCB" w:rsidRPr="00C92CCB" w:rsidRDefault="00C92CCB" w:rsidP="00C92CCB">
      <w:pPr>
        <w:bidi w:val="0"/>
        <w:spacing w:after="160" w:line="259" w:lineRule="auto"/>
        <w:jc w:val="right"/>
        <w:rPr>
          <w:rFonts w:ascii="Arial" w:eastAsia="Calibri" w:hAnsi="Arial" w:cs="Arial"/>
          <w:sz w:val="28"/>
          <w:szCs w:val="28"/>
          <w:rtl/>
          <w:lang w:bidi="ar-IQ"/>
        </w:rPr>
      </w:pPr>
      <w:r w:rsidRPr="00C92CCB">
        <w:rPr>
          <w:rFonts w:ascii="Arial" w:eastAsia="Calibri" w:hAnsi="Arial" w:cs="Arial" w:hint="cs"/>
          <w:sz w:val="28"/>
          <w:szCs w:val="28"/>
          <w:rtl/>
          <w:lang w:bidi="ar-IQ"/>
        </w:rPr>
        <w:t xml:space="preserve">     فقال له: من البداية فرحل إليها ليتعلم ما تعلم وبدأ بداية جيدة باختيار أهل البادية الفصحاء فانفذ خمس عشرة قنينة من الحبر دلالة على ما سجل من لغة الاعراب، لكن في نهاية الأمر لم يستمر على السماع من الفصحاء فلجأ إلى السماع من (اعراب الحطمية) وهم غير فصحاء.</w:t>
      </w:r>
    </w:p>
    <w:p w:rsidR="00C92CCB" w:rsidRPr="00C92CCB" w:rsidRDefault="00C92CCB" w:rsidP="00C92CCB">
      <w:pPr>
        <w:bidi w:val="0"/>
        <w:spacing w:after="160" w:line="259" w:lineRule="auto"/>
        <w:jc w:val="right"/>
        <w:rPr>
          <w:rFonts w:ascii="Calibri" w:eastAsia="Calibri" w:hAnsi="Calibri" w:cs="Arial"/>
          <w:b/>
          <w:bCs/>
          <w:sz w:val="32"/>
          <w:szCs w:val="32"/>
        </w:rPr>
      </w:pPr>
      <w:r w:rsidRPr="00C92CCB">
        <w:rPr>
          <w:rFonts w:ascii="Calibri" w:eastAsia="Calibri" w:hAnsi="Calibri" w:cs="Arial"/>
          <w:b/>
          <w:bCs/>
          <w:sz w:val="32"/>
          <w:szCs w:val="32"/>
          <w:rtl/>
        </w:rPr>
        <w:t xml:space="preserve">الرواية </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hint="cs"/>
          <w:sz w:val="28"/>
          <w:szCs w:val="28"/>
          <w:rtl/>
        </w:rPr>
        <w:t xml:space="preserve">       </w:t>
      </w:r>
      <w:r w:rsidRPr="00C92CCB">
        <w:rPr>
          <w:rFonts w:ascii="Calibri" w:eastAsia="Calibri" w:hAnsi="Calibri" w:cs="Arial"/>
          <w:sz w:val="28"/>
          <w:szCs w:val="28"/>
          <w:rtl/>
        </w:rPr>
        <w:t>حدث عن جعفر الصادق، والأعمش، وسليمان بن أرقم. وأخذ النحو عن الخليل بن أحمد، وسافر في بادية الحجاز ونجد مدة للعربية ولزم معاذا الهراء، فأصبح مثالا يحتذى به في علمه بفنون اللغة وقواعدها، وصار إمام نحاة الكوفة، وبلغ عند هارون الرشيد منزلة عظيمة، وأدب ولده الأمين، ونال جاها وأموالا. ومن أشهر تلاميذه في النحو هشام بن معاوية ويحيى الفراء</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 xml:space="preserve">أخذ القراءة عرضا عن حمزة الزيات أربع مرات، وإليه انتهت رئاسة الإقراء في الكوفة بعد وفاته، روى عنه القراءات أبو عمر الدوري، وأبو الحارث الليث بن خالد وهما راوياه، ونصير بن يوسف الرازي، وقتيبة بن مهران الأصبهاني، وأحمد بن أبي سريج، وأحمد بن جبير الأنطاكي، وأبو حمدون الطيب، وعيسى بن سليمان </w:t>
      </w:r>
      <w:proofErr w:type="spellStart"/>
      <w:r w:rsidRPr="00C92CCB">
        <w:rPr>
          <w:rFonts w:ascii="Calibri" w:eastAsia="Calibri" w:hAnsi="Calibri" w:cs="Arial"/>
          <w:sz w:val="28"/>
          <w:szCs w:val="28"/>
          <w:rtl/>
        </w:rPr>
        <w:t>الشيزري</w:t>
      </w:r>
      <w:proofErr w:type="spellEnd"/>
      <w:r w:rsidRPr="00C92CCB">
        <w:rPr>
          <w:rFonts w:ascii="Calibri" w:eastAsia="Calibri" w:hAnsi="Calibri" w:cs="Arial"/>
          <w:sz w:val="28"/>
          <w:szCs w:val="28"/>
          <w:rtl/>
        </w:rPr>
        <w:t xml:space="preserve"> ويحيى الفراء وخلف البزار</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p>
    <w:p w:rsidR="00C92CCB" w:rsidRPr="00C92CCB" w:rsidRDefault="00C92CCB" w:rsidP="00C92CCB">
      <w:pPr>
        <w:bidi w:val="0"/>
        <w:spacing w:after="160" w:line="259" w:lineRule="auto"/>
        <w:jc w:val="right"/>
        <w:rPr>
          <w:rFonts w:ascii="Calibri" w:eastAsia="Calibri" w:hAnsi="Calibri" w:cs="Arial"/>
          <w:b/>
          <w:bCs/>
          <w:sz w:val="32"/>
          <w:szCs w:val="32"/>
        </w:rPr>
      </w:pPr>
      <w:r w:rsidRPr="00C92CCB">
        <w:rPr>
          <w:rFonts w:ascii="Calibri" w:eastAsia="Calibri" w:hAnsi="Calibri" w:cs="Arial"/>
          <w:b/>
          <w:bCs/>
          <w:sz w:val="32"/>
          <w:szCs w:val="32"/>
          <w:rtl/>
        </w:rPr>
        <w:t xml:space="preserve">شيوخه </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hint="cs"/>
          <w:sz w:val="28"/>
          <w:szCs w:val="28"/>
          <w:rtl/>
        </w:rPr>
        <w:t xml:space="preserve">     </w:t>
      </w:r>
      <w:r w:rsidRPr="00C92CCB">
        <w:rPr>
          <w:rFonts w:ascii="Calibri" w:eastAsia="Calibri" w:hAnsi="Calibri" w:cs="Arial"/>
          <w:sz w:val="28"/>
          <w:szCs w:val="28"/>
          <w:rtl/>
        </w:rPr>
        <w:t>أخذ القراءة عرضًا عن حمزة أربع مرات، وعليه اعتماده، وعن محمد بن أبي ليلة، وعيسى بن عمر الهمداني، وروى الحروف عن أبي بكر بن عياش، وإسماعيل ويعقوب ابني جعفر عن نافع، وعن عبد الرحمن بن أبي حماد، وعن أبي حيوة شريح بن يزيد</w:t>
      </w:r>
      <w:r w:rsidRPr="00C92CCB">
        <w:rPr>
          <w:rFonts w:ascii="Calibri" w:eastAsia="Calibri" w:hAnsi="Calibri" w:cs="Arial" w:hint="cs"/>
          <w:sz w:val="28"/>
          <w:szCs w:val="28"/>
          <w:rtl/>
        </w:rPr>
        <w:t>.</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tl/>
        </w:rPr>
      </w:pPr>
    </w:p>
    <w:p w:rsidR="00C92CCB" w:rsidRPr="00C92CCB" w:rsidRDefault="00C92CCB" w:rsidP="00C92CCB">
      <w:pPr>
        <w:bidi w:val="0"/>
        <w:spacing w:after="160" w:line="259" w:lineRule="auto"/>
        <w:jc w:val="right"/>
        <w:rPr>
          <w:rFonts w:ascii="Calibri" w:eastAsia="Calibri" w:hAnsi="Calibri" w:cs="Arial"/>
          <w:b/>
          <w:bCs/>
          <w:sz w:val="32"/>
          <w:szCs w:val="32"/>
        </w:rPr>
      </w:pPr>
      <w:r w:rsidRPr="00C92CCB">
        <w:rPr>
          <w:rFonts w:ascii="Calibri" w:eastAsia="Calibri" w:hAnsi="Calibri" w:cs="Arial"/>
          <w:b/>
          <w:bCs/>
          <w:sz w:val="32"/>
          <w:szCs w:val="32"/>
          <w:rtl/>
        </w:rPr>
        <w:t xml:space="preserve">مصنفاته </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hint="cs"/>
          <w:sz w:val="28"/>
          <w:szCs w:val="28"/>
          <w:rtl/>
        </w:rPr>
        <w:t xml:space="preserve">    </w:t>
      </w:r>
      <w:r w:rsidRPr="00C92CCB">
        <w:rPr>
          <w:rFonts w:ascii="Calibri" w:eastAsia="Calibri" w:hAnsi="Calibri" w:cs="Arial"/>
          <w:sz w:val="28"/>
          <w:szCs w:val="28"/>
          <w:rtl/>
        </w:rPr>
        <w:t xml:space="preserve">للكسائي عدد من التصانيف من أشهرها: معاني القرآن ومقطوع القرآن </w:t>
      </w:r>
      <w:proofErr w:type="spellStart"/>
      <w:r w:rsidRPr="00C92CCB">
        <w:rPr>
          <w:rFonts w:ascii="Calibri" w:eastAsia="Calibri" w:hAnsi="Calibri" w:cs="Arial"/>
          <w:sz w:val="28"/>
          <w:szCs w:val="28"/>
          <w:rtl/>
        </w:rPr>
        <w:t>وموصوله</w:t>
      </w:r>
      <w:proofErr w:type="spellEnd"/>
      <w:r w:rsidRPr="00C92CCB">
        <w:rPr>
          <w:rFonts w:ascii="Calibri" w:eastAsia="Calibri" w:hAnsi="Calibri" w:cs="Arial"/>
          <w:sz w:val="28"/>
          <w:szCs w:val="28"/>
          <w:rtl/>
        </w:rPr>
        <w:t>، وكتاب في القراءات، وكتاب النوادر الكبير وكتاب النوادر الأصغر، ومختصر في النحو، وكتاب اختلاف العدد وكتاب قصص الأنبياء وكتاب الحروف وكتاب العدد وكتاب القراءات وكتاب المصادر وكتاب الهجاء وغيرها</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p>
    <w:p w:rsidR="00C92CCB" w:rsidRPr="00C92CCB" w:rsidRDefault="00C92CCB" w:rsidP="00C92CCB">
      <w:pPr>
        <w:bidi w:val="0"/>
        <w:spacing w:after="160" w:line="259" w:lineRule="auto"/>
        <w:jc w:val="right"/>
        <w:rPr>
          <w:rFonts w:ascii="Calibri" w:eastAsia="Calibri" w:hAnsi="Calibri" w:cs="Arial"/>
          <w:b/>
          <w:bCs/>
          <w:sz w:val="32"/>
          <w:szCs w:val="32"/>
        </w:rPr>
      </w:pPr>
      <w:r w:rsidRPr="00C92CCB">
        <w:rPr>
          <w:rFonts w:ascii="Calibri" w:eastAsia="Calibri" w:hAnsi="Calibri" w:cs="Arial"/>
          <w:b/>
          <w:bCs/>
          <w:sz w:val="32"/>
          <w:szCs w:val="32"/>
          <w:rtl/>
        </w:rPr>
        <w:t xml:space="preserve">تلاميذه </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hint="cs"/>
          <w:sz w:val="28"/>
          <w:szCs w:val="28"/>
          <w:rtl/>
        </w:rPr>
        <w:t xml:space="preserve">    </w:t>
      </w:r>
      <w:r w:rsidRPr="00C92CCB">
        <w:rPr>
          <w:rFonts w:ascii="Calibri" w:eastAsia="Calibri" w:hAnsi="Calibri" w:cs="Arial"/>
          <w:sz w:val="28"/>
          <w:szCs w:val="28"/>
          <w:rtl/>
        </w:rPr>
        <w:t>روى عنه القراءات أبو عمر الدوري، وأبو الحارث الليث بن خالد، ونصير بن يوسف، وقتيبة بن مهران، وأحمد بن سريج، وأبو عبيد، ويحيى الفراء، وخلف بن هشام، وغيرهم. وأما راوياه فهما الليث، وحفص الدوري. وله أعمال كثيرة</w:t>
      </w:r>
    </w:p>
    <w:p w:rsidR="00C92CCB" w:rsidRPr="00C92CCB" w:rsidRDefault="00C92CCB" w:rsidP="00C92CCB">
      <w:pPr>
        <w:bidi w:val="0"/>
        <w:spacing w:after="160" w:line="259" w:lineRule="auto"/>
        <w:jc w:val="right"/>
        <w:rPr>
          <w:rFonts w:ascii="Calibri" w:eastAsia="Calibri" w:hAnsi="Calibri" w:cs="Arial"/>
          <w:sz w:val="28"/>
          <w:szCs w:val="28"/>
        </w:rPr>
      </w:pPr>
    </w:p>
    <w:p w:rsidR="00C92CCB" w:rsidRPr="00C92CCB" w:rsidRDefault="00C92CCB" w:rsidP="00C92CCB">
      <w:pPr>
        <w:bidi w:val="0"/>
        <w:spacing w:after="160" w:line="259" w:lineRule="auto"/>
        <w:jc w:val="right"/>
        <w:rPr>
          <w:rFonts w:ascii="Calibri" w:eastAsia="Calibri" w:hAnsi="Calibri" w:cs="Arial"/>
          <w:b/>
          <w:bCs/>
          <w:sz w:val="32"/>
          <w:szCs w:val="32"/>
        </w:rPr>
      </w:pPr>
      <w:r w:rsidRPr="00C92CCB">
        <w:rPr>
          <w:rFonts w:ascii="Calibri" w:eastAsia="Calibri" w:hAnsi="Calibri" w:cs="Arial"/>
          <w:b/>
          <w:bCs/>
          <w:sz w:val="32"/>
          <w:szCs w:val="32"/>
          <w:rtl/>
        </w:rPr>
        <w:t xml:space="preserve">منهجه في القراءة </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يقول الشيخ عبد الفتاح القاضي عن منهج الكِسائي في القراءة</w:t>
      </w:r>
    </w:p>
    <w:p w:rsidR="00C92CCB" w:rsidRPr="00C92CCB" w:rsidRDefault="00C92CCB" w:rsidP="00C92CCB">
      <w:pPr>
        <w:bidi w:val="0"/>
        <w:spacing w:after="160" w:line="259" w:lineRule="auto"/>
        <w:jc w:val="right"/>
        <w:rPr>
          <w:rFonts w:ascii="Calibri" w:eastAsia="Calibri" w:hAnsi="Calibri" w:cs="Arial"/>
          <w:sz w:val="28"/>
          <w:szCs w:val="28"/>
        </w:rPr>
      </w:pPr>
    </w:p>
    <w:p w:rsidR="00C92CCB" w:rsidRPr="00C92CCB" w:rsidRDefault="00C92CCB" w:rsidP="00C92CCB">
      <w:pPr>
        <w:bidi w:val="0"/>
        <w:spacing w:after="160" w:line="259" w:lineRule="auto"/>
        <w:jc w:val="right"/>
        <w:rPr>
          <w:rFonts w:ascii="Calibri" w:eastAsia="Calibri" w:hAnsi="Calibri" w:cs="Arial"/>
          <w:sz w:val="28"/>
          <w:szCs w:val="28"/>
          <w:lang w:bidi="ar-IQ"/>
        </w:rPr>
      </w:pPr>
      <w:r w:rsidRPr="00C92CCB">
        <w:rPr>
          <w:rFonts w:ascii="Calibri" w:eastAsia="Calibri" w:hAnsi="Calibri" w:cs="Arial"/>
          <w:sz w:val="28"/>
          <w:szCs w:val="28"/>
          <w:rtl/>
        </w:rPr>
        <w:t>يبسمل بين كل سورتين إلا بين (الأنفال والتوبة) فيقف أو يسكت أو يصل</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يوسط المَدَّيْنِ المتصل والمنفصل بمقدار أربع حركات</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 xml:space="preserve">يدغم ذال إذ فيما عدا الجيم، ويدغم دال وتاء التأنيث ولام هل وبل في حروف كل منها، ويدغم الباء المجزومة في الفاء نحو: {قَالَ </w:t>
      </w:r>
      <w:proofErr w:type="spellStart"/>
      <w:r w:rsidRPr="00C92CCB">
        <w:rPr>
          <w:rFonts w:ascii="Calibri" w:eastAsia="Calibri" w:hAnsi="Calibri" w:cs="Arial"/>
          <w:sz w:val="28"/>
          <w:szCs w:val="28"/>
          <w:rtl/>
        </w:rPr>
        <w:t>إذْهَبْ</w:t>
      </w:r>
      <w:proofErr w:type="spellEnd"/>
      <w:r w:rsidRPr="00C92CCB">
        <w:rPr>
          <w:rFonts w:ascii="Calibri" w:eastAsia="Calibri" w:hAnsi="Calibri" w:cs="Arial"/>
          <w:sz w:val="28"/>
          <w:szCs w:val="28"/>
          <w:rtl/>
        </w:rPr>
        <w:t xml:space="preserve"> فَمَنْ تَبِعَكَ مِنْهُمْ}، ويدغم الفاء المجزومة في الباء في {إِنْ نَشَأْ نَخْسِفْ بِهِمُ} في سبأ. وأدغم من رواية الليث اللام المجزومة في الذال في {يَفْعَلْ ذَلِكَ} حيث وقع هذا اللفظ، ويدغم الذال في التاء في {عذتُ}، {فنبذتها}، {اتخذتم}، {أخذتم}، ويدغم الثاء في التاء في {أورثتموها}، {لبثت}، {لبثتم}</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يميل ما يميله حمزة من الألفات، ويزيد عليه إمالة بعض الألفاظ كما وضح في كتب القراءات</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يميل ما قبل هاء التأنيث عند الوقف نحو: {رحمة}، {الملائكة} بشروط مخصوصة</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 xml:space="preserve">يقف على </w:t>
      </w:r>
      <w:proofErr w:type="spellStart"/>
      <w:r w:rsidRPr="00C92CCB">
        <w:rPr>
          <w:rFonts w:ascii="Calibri" w:eastAsia="Calibri" w:hAnsi="Calibri" w:cs="Arial"/>
          <w:sz w:val="28"/>
          <w:szCs w:val="28"/>
          <w:rtl/>
        </w:rPr>
        <w:t>التاءات</w:t>
      </w:r>
      <w:proofErr w:type="spellEnd"/>
      <w:r w:rsidRPr="00C92CCB">
        <w:rPr>
          <w:rFonts w:ascii="Calibri" w:eastAsia="Calibri" w:hAnsi="Calibri" w:cs="Arial"/>
          <w:sz w:val="28"/>
          <w:szCs w:val="28"/>
          <w:rtl/>
        </w:rPr>
        <w:t xml:space="preserve"> المفتوحة نحو: (شجرت، بقيت، جنت) بالهاء</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Pr>
      </w:pPr>
      <w:r w:rsidRPr="00C92CCB">
        <w:rPr>
          <w:rFonts w:ascii="Calibri" w:eastAsia="Calibri" w:hAnsi="Calibri" w:cs="Arial"/>
          <w:sz w:val="28"/>
          <w:szCs w:val="28"/>
          <w:rtl/>
        </w:rPr>
        <w:t>يسكن ياء الإضافة في {قُلْ لِعِبَادِيَ الَّذِينَ آمَنُوا} بإبراهيم، {يَا عِبَادِيَ الَّذِينَ} بالعنكبوت والزمر</w:t>
      </w:r>
      <w:r w:rsidRPr="00C92CCB">
        <w:rPr>
          <w:rFonts w:ascii="Calibri" w:eastAsia="Calibri" w:hAnsi="Calibri" w:cs="Arial"/>
          <w:sz w:val="28"/>
          <w:szCs w:val="28"/>
        </w:rPr>
        <w:t>.</w:t>
      </w:r>
    </w:p>
    <w:p w:rsidR="00C92CCB" w:rsidRPr="00C92CCB" w:rsidRDefault="00C92CCB" w:rsidP="00C92CCB">
      <w:pPr>
        <w:bidi w:val="0"/>
        <w:spacing w:after="160" w:line="259" w:lineRule="auto"/>
        <w:jc w:val="right"/>
        <w:rPr>
          <w:rFonts w:ascii="Calibri" w:eastAsia="Calibri" w:hAnsi="Calibri" w:cs="Arial"/>
          <w:sz w:val="28"/>
          <w:szCs w:val="28"/>
          <w:rtl/>
        </w:rPr>
      </w:pPr>
      <w:r w:rsidRPr="00C92CCB">
        <w:rPr>
          <w:rFonts w:ascii="Calibri" w:eastAsia="Calibri" w:hAnsi="Calibri" w:cs="Arial"/>
          <w:sz w:val="28"/>
          <w:szCs w:val="28"/>
          <w:rtl/>
        </w:rPr>
        <w:t>يثبت الياء الزائدة في {يَوْمَ يَأْتِ} في هود، و{كُنَّا نَبْغِ} في الكهف، في حال الوصل</w:t>
      </w:r>
      <w:r w:rsidRPr="00C92CCB">
        <w:rPr>
          <w:rFonts w:ascii="Calibri" w:eastAsia="Calibri" w:hAnsi="Calibri" w:cs="Arial" w:hint="cs"/>
          <w:sz w:val="28"/>
          <w:szCs w:val="28"/>
          <w:rtl/>
        </w:rPr>
        <w:t>.</w:t>
      </w:r>
    </w:p>
    <w:p w:rsidR="00C92CCB" w:rsidRPr="00C92CCB" w:rsidRDefault="00C92CCB" w:rsidP="00C92CCB">
      <w:pPr>
        <w:bidi w:val="0"/>
        <w:spacing w:after="160" w:line="259" w:lineRule="auto"/>
        <w:jc w:val="right"/>
        <w:rPr>
          <w:rFonts w:ascii="Calibri" w:eastAsia="Calibri" w:hAnsi="Calibri" w:cs="Arial"/>
          <w:sz w:val="28"/>
          <w:szCs w:val="28"/>
          <w:rtl/>
        </w:rPr>
      </w:pPr>
    </w:p>
    <w:p w:rsidR="00C92CCB" w:rsidRPr="00C92CCB" w:rsidRDefault="00C92CCB" w:rsidP="00C92CCB">
      <w:pPr>
        <w:bidi w:val="0"/>
        <w:spacing w:after="160" w:line="259" w:lineRule="auto"/>
        <w:jc w:val="right"/>
        <w:rPr>
          <w:rFonts w:ascii="Calibri" w:eastAsia="Calibri" w:hAnsi="Calibri" w:cs="Arial"/>
          <w:b/>
          <w:bCs/>
          <w:sz w:val="32"/>
          <w:szCs w:val="32"/>
        </w:rPr>
      </w:pPr>
      <w:r w:rsidRPr="00C92CCB">
        <w:rPr>
          <w:rFonts w:ascii="Calibri" w:eastAsia="Calibri" w:hAnsi="Calibri" w:cs="Arial"/>
          <w:b/>
          <w:bCs/>
          <w:sz w:val="32"/>
          <w:szCs w:val="32"/>
          <w:rtl/>
        </w:rPr>
        <w:t xml:space="preserve">وفاته </w:t>
      </w:r>
    </w:p>
    <w:p w:rsidR="00BD365B" w:rsidRDefault="00C92CCB" w:rsidP="00C92CCB">
      <w:r w:rsidRPr="00C92CCB">
        <w:rPr>
          <w:rFonts w:ascii="Calibri" w:eastAsia="Calibri" w:hAnsi="Calibri" w:cs="Arial"/>
          <w:sz w:val="28"/>
          <w:szCs w:val="28"/>
          <w:rtl/>
        </w:rPr>
        <w:t>عاش الكسائي 70 سنة، وتُوفِّي بالري - جنوب شرقي طهران - سنة 189هـ/ 805م</w:t>
      </w:r>
      <w:bookmarkStart w:id="0" w:name="_GoBack"/>
      <w:bookmarkEnd w:id="0"/>
    </w:p>
    <w:sectPr w:rsidR="00BD365B" w:rsidSect="00983DB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37802"/>
    <w:rsid w:val="00337802"/>
    <w:rsid w:val="00983DBA"/>
    <w:rsid w:val="00BD365B"/>
    <w:rsid w:val="00C92CC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2862</Characters>
  <Application>Microsoft Office Word</Application>
  <DocSecurity>0</DocSecurity>
  <Lines>23</Lines>
  <Paragraphs>6</Paragraphs>
  <ScaleCrop>false</ScaleCrop>
  <Company>SACC - ANAS</Company>
  <LinksUpToDate>false</LinksUpToDate>
  <CharactersWithSpaces>3358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DR.Ahmed Saker 2O14</dc:creator>
  <cp:keywords/>
  <dc:description/>
  <cp:lastModifiedBy>DR.Ahmed Saker 2O14</cp:lastModifiedBy>
  <cp:revision>2</cp:revision>
  <dcterms:created xsi:type="dcterms:W3CDTF">2017-10-13T19:49:00Z</dcterms:created>
  <dcterms:modified xsi:type="dcterms:W3CDTF">2017-10-13T19:54:00Z</dcterms:modified>
</cp:coreProperties>
</file>