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B" w:rsidRPr="00D4457B" w:rsidRDefault="00D4457B" w:rsidP="00D4457B">
      <w:pPr>
        <w:pStyle w:val="NormalWeb"/>
        <w:shd w:val="clear" w:color="auto" w:fill="FFFFFF"/>
        <w:spacing w:before="0" w:beforeAutospacing="0" w:after="343" w:afterAutospacing="0"/>
        <w:jc w:val="right"/>
        <w:rPr>
          <w:color w:val="333333"/>
          <w:sz w:val="28"/>
          <w:szCs w:val="28"/>
        </w:rPr>
      </w:pPr>
      <w:r w:rsidRPr="00D4457B">
        <w:rPr>
          <w:color w:val="333333"/>
          <w:sz w:val="28"/>
          <w:szCs w:val="28"/>
          <w:rtl/>
        </w:rPr>
        <w:t>من المعلوم أن الدراسات الثقافية قد ظهرت منذ القرن التاسع عشرأو ربما قبل هذه الفترة بكثير، في ظل العلوم الإنسانية( علم الاجتماع، والأنتروبولوجيا، والإثنولوجيا، وعلم النفس، وعلم التاريخ، والفلسفة...)، وذلك مع انبثاق الثورة الصناعية. هذا، وقد انتشرت الدراسات الثقافية بشكل متميز في الغرب منذ سنة 1964م، وذلك مع تأسيس مركز بريمنغهام للدراسات الثقافية المعاصرة، وبروز مدرسة فرانكفورت في الأبحاث الثقافية ذات الطابع النقدي والسوسيولوجي، لتنتشر الدراسات الثقافية بشكل موسع في سنوات التسعين في مجالات عدة، بعد أن استفادت من البنيوية ومابعد البنيوية. وتشكلت على هداها نظريات ومذاهب وتيارات ومدارس واتجاهات ومناهج نقدية وأدبية وظهرت في الغرب مجموعة من الدراسات الثقافية لدى رولان بارت، وميشيل فوكو، وبيير بورديو صاحب المادية الثقافية، وإدوارد سعيد، وهومي بابا، وجي سي سبيفاك، وجان بودريار، وجان فرانسوا لوتار</w:t>
      </w:r>
      <w:r w:rsidRPr="00D4457B">
        <w:rPr>
          <w:color w:val="333333"/>
          <w:sz w:val="28"/>
          <w:szCs w:val="28"/>
        </w:rPr>
        <w:t>...</w:t>
      </w:r>
      <w:bookmarkStart w:id="0" w:name="_GoBack"/>
      <w:bookmarkEnd w:id="0"/>
    </w:p>
    <w:p w:rsidR="00D4457B" w:rsidRPr="00D4457B" w:rsidRDefault="00D4457B" w:rsidP="00D4457B">
      <w:pPr>
        <w:pStyle w:val="NormalWeb"/>
        <w:shd w:val="clear" w:color="auto" w:fill="FFFFFF"/>
        <w:spacing w:before="0" w:beforeAutospacing="0" w:after="343" w:afterAutospacing="0"/>
        <w:jc w:val="right"/>
        <w:rPr>
          <w:color w:val="333333"/>
          <w:sz w:val="28"/>
          <w:szCs w:val="28"/>
        </w:rPr>
      </w:pPr>
      <w:r w:rsidRPr="00D4457B">
        <w:rPr>
          <w:color w:val="333333"/>
          <w:sz w:val="28"/>
          <w:szCs w:val="28"/>
          <w:rtl/>
        </w:rPr>
        <w:t>ويعني هذا أن مدرسة بريمنغهام الإنجليزية ومدرسة فرانكفورت الألمانية من المدارس التي ساهمت في إغناء الدراسات الثقافية، فكانت النظرية النقدية تنظر إلى النقد الأدبي على أن من بين وظائفه الرئيسة هي:" التصدي لمختلف الأشكال اللامعقولة التي حاولت المصالح الطبقية السائدة أن تلبسها للعقل، وأن تؤسس اليقين بها على اعتبار أنها هي التي تجسد العقل، في حين أن هذه الأشكال من العقلانية المزيفة ليست سوى أدوات لاستخدام العقل في تدعيم النظم الاجتماعية القائمة، وهو ما دعاه هوركايمر بالعقل الأداتي</w:t>
      </w:r>
      <w:r w:rsidRPr="00D4457B">
        <w:rPr>
          <w:color w:val="333333"/>
          <w:sz w:val="28"/>
          <w:szCs w:val="28"/>
        </w:rPr>
        <w:t>."#</w:t>
      </w:r>
    </w:p>
    <w:p w:rsidR="00D4457B" w:rsidRPr="00D4457B" w:rsidRDefault="00D4457B" w:rsidP="00D4457B">
      <w:pPr>
        <w:pStyle w:val="NormalWeb"/>
        <w:shd w:val="clear" w:color="auto" w:fill="FFFFFF"/>
        <w:spacing w:before="0" w:beforeAutospacing="0" w:after="343" w:afterAutospacing="0"/>
        <w:jc w:val="right"/>
        <w:rPr>
          <w:color w:val="333333"/>
          <w:sz w:val="28"/>
          <w:szCs w:val="28"/>
        </w:rPr>
      </w:pPr>
      <w:r w:rsidRPr="00D4457B">
        <w:rPr>
          <w:color w:val="333333"/>
          <w:sz w:val="28"/>
          <w:szCs w:val="28"/>
          <w:rtl/>
        </w:rPr>
        <w:t>وكانت هناك نظريات أخرى ساهمت في إفراز النقد الثقافي والدراسات الثقافية إلى جانب مدرسة بريمنغهام ومدرسة فرانكفورت كنظرية ما بعد الحداثة، والنظرية التفكيكية، ونظرية التعددية الثقافية، والنقد النسوي، والمادية الثقافية، والماركسية الجديدة، ونظرية الجنوسة، والنقد الكولونيالي (الاستعماري)، ونظرية الاستجابة والتلقي، وثقافة الوسائل والوسائط الإعلامية، والخطاب السردي التكنولوجي</w:t>
      </w:r>
      <w:r w:rsidRPr="00D4457B">
        <w:rPr>
          <w:color w:val="333333"/>
          <w:sz w:val="28"/>
          <w:szCs w:val="28"/>
        </w:rPr>
        <w:t>...</w:t>
      </w:r>
    </w:p>
    <w:p w:rsidR="00D4457B" w:rsidRPr="00D4457B" w:rsidRDefault="00D4457B" w:rsidP="00D4457B">
      <w:pPr>
        <w:pStyle w:val="NormalWeb"/>
        <w:shd w:val="clear" w:color="auto" w:fill="FFFFFF"/>
        <w:spacing w:before="0" w:beforeAutospacing="0" w:after="343" w:afterAutospacing="0"/>
        <w:jc w:val="right"/>
        <w:rPr>
          <w:color w:val="333333"/>
          <w:sz w:val="28"/>
          <w:szCs w:val="28"/>
        </w:rPr>
      </w:pPr>
      <w:r w:rsidRPr="00D4457B">
        <w:rPr>
          <w:color w:val="333333"/>
          <w:sz w:val="28"/>
          <w:szCs w:val="28"/>
          <w:rtl/>
        </w:rPr>
        <w:t>هذا، ويمكن الحديث عن نوعين من الثقافة: ثقافة الاستقبال وثقافة الرفض والمقاومة. وتنبني ثقافة الرفض بدورها على أنواع ثلاثة من القراءات: قراءة الهيمنة، وقراءة التحاور، وقراءة المعارضة</w:t>
      </w:r>
      <w:r w:rsidRPr="00D4457B">
        <w:rPr>
          <w:color w:val="333333"/>
          <w:sz w:val="28"/>
          <w:szCs w:val="28"/>
        </w:rPr>
        <w:t>.</w:t>
      </w:r>
    </w:p>
    <w:p w:rsidR="00D4457B" w:rsidRPr="00D4457B" w:rsidRDefault="00D4457B" w:rsidP="00D4457B">
      <w:pPr>
        <w:pStyle w:val="NormalWeb"/>
        <w:shd w:val="clear" w:color="auto" w:fill="FFFFFF"/>
        <w:spacing w:before="0" w:beforeAutospacing="0" w:after="343" w:afterAutospacing="0"/>
        <w:jc w:val="right"/>
        <w:rPr>
          <w:color w:val="333333"/>
          <w:sz w:val="28"/>
          <w:szCs w:val="28"/>
        </w:rPr>
      </w:pPr>
      <w:r w:rsidRPr="00D4457B">
        <w:rPr>
          <w:color w:val="333333"/>
          <w:sz w:val="28"/>
          <w:szCs w:val="28"/>
          <w:rtl/>
        </w:rPr>
        <w:t xml:space="preserve">بيد أن الظهور الفعلي والحقيقي للنقد الثقافي لم يتحقق إلا في سنوات الثمانين من القرن العشرين(1985م)، وذلك في الولايات المتحدة الامريكية، حيث استفاد هذا النقد من البنيوية اللسانية، والأنتروبولوجيا،والتفكيكية، ونقد ما بعد الحداثة، والحركة النسوية، ونقد الجنوسة، وأطروحات مابعد الاستعمارية... ومن ثم،لم ينطلق النقد الثقافي إلا بظهور مجلة:" النقد الثقافي" التي كانت تصدر في جامعة مينيسوتا في شتى المجالات الثقافية#. وبعد ذلك، أصبح النقد الثقافي يدرس في معظم جامعات الولايات المتحدة الأمريكية التي كانت تعنى أيما عناية بتدريس العلوم الإنسانية. بيد أن مصطلح النقد الثقافي لم يتبلور منهجيا إلا مع الناقد الأمريكي فنسان.ب.ليتش، الذي أصدرسنة 1992م كتابا قيما بعنوان:" النقد الثقافي:نظرية الأدب لما بعد الحداثة"#. ومن ثم، فليتش هو أول من أطلق مصطلح النقد الثقافي على نظرية مابعد الحداثة، واهتم بدراسة الخطاب في ضوء التاريخ والسوسيولوجيا والسياسة والمؤسساتية ومناهج النقد الأدبي. وتستند منهجية ليتش إلى التعامل مع النصوص والخطابات ليس من الوجهة الجمالية ذات البعد المؤسساتي، بل تتعامل معها من خلال رؤية ثقافية تستكشف ماهو غير مؤسساتي وماهو غير جمالي. كما يعتمد النقد الثقافي عند ليتش على </w:t>
      </w:r>
      <w:r w:rsidRPr="00D4457B">
        <w:rPr>
          <w:color w:val="333333"/>
          <w:sz w:val="28"/>
          <w:szCs w:val="28"/>
          <w:rtl/>
        </w:rPr>
        <w:lastRenderedPageBreak/>
        <w:t>التأويل التفكيكي، واستقراء التاريخ، والاستفادة من المناهج الأدبية المعروفة، والاستعانة بالتحليل المؤسساتي... كما أن منهجية ليتش هي منهجية حفرية لتعرية الخطابات، بغية تحصيل الأنساق الثقافية استكشافا واستكناها، وتقويم أنظمتها التواصلية مضمونا وتأثيرا ومرجعية، مع التركيز على الأنظمة العقلية واللاعقلية للظواهر النصية لرصد الأبعاد الإيديولوجية، متأثرا في ذلك بجاك ديريدا، ورولان بارت، وميشيل فوكو</w:t>
      </w:r>
      <w:r w:rsidRPr="00D4457B">
        <w:rPr>
          <w:color w:val="333333"/>
          <w:sz w:val="28"/>
          <w:szCs w:val="28"/>
        </w:rPr>
        <w:t>...</w:t>
      </w:r>
    </w:p>
    <w:p w:rsidR="00D4457B" w:rsidRPr="00D4457B" w:rsidRDefault="00D4457B" w:rsidP="00D4457B">
      <w:pPr>
        <w:pStyle w:val="NormalWeb"/>
        <w:shd w:val="clear" w:color="auto" w:fill="FFFFFF"/>
        <w:spacing w:before="0" w:beforeAutospacing="0" w:after="343" w:afterAutospacing="0"/>
        <w:jc w:val="right"/>
        <w:rPr>
          <w:color w:val="333333"/>
          <w:sz w:val="28"/>
          <w:szCs w:val="28"/>
        </w:rPr>
      </w:pPr>
      <w:r w:rsidRPr="00D4457B">
        <w:rPr>
          <w:color w:val="333333"/>
          <w:sz w:val="28"/>
          <w:szCs w:val="28"/>
          <w:rtl/>
        </w:rPr>
        <w:t>ويعني هذا أن ليتش ينتمي إلى نقد ما بعد الحداثة، حيث يلتجىء إلى تشريح النص تفتيتا وتفكيكا، واستجلاء الأنظمة غير العقلية والأنساق الثقافية الإيديولوجية ضمن رؤية انتقادية وظيفية. وبتعبير آخر، يتعامل ليتش مع النص أو الخطاب من خلال التركيز على الأنظمة العقلية واللاعقلية، وتفكيكها اختلافا وتقويضا وتضادا، وذلك على غرار التصور التفكيكي عند جاك ديريدا. ويعمل ليتش أيضا على نقد المؤسسة الأدبية التي توجه أذواق القراء بالطريقة التي ترتضيها هذه المؤسسة. ومن ثم، ينتقد ليتش المؤسسة الثقافية التي كان لها تأثير سلبي على طريقة التلقي والاستجابة لدى القراء. وهنا، يتفق ليتش في نقده مع نقاد استجابة القارىء، مثل: بليتش وفيش... ويتفق كذلك مع نقاد مؤسسة الأدب كتودوروف وكوللر، وتأثر كذلك بميشيل فوكو، وجيل دولوز، وليوتار الذين انتقدوا مؤسسات المجتمع الاستهلاكي من خلال ربط الخطاب بالمؤسسة. كما يستعرض ليتش مجموعة من الأعمال الثقافية التي تنتمي إلى النقد المؤسساتي، مثل: كتاب إدوارد سعيد عن "الاستشراق"، وكتاب ميشيل فوكو حول: " السلطة والمعرفة". وهنا، يضيف ليتش مصطلحا آخر إلى نظرية التقويض لدى جاك ديريدا، وهو مصطلح التمأسس</w:t>
      </w:r>
      <w:r w:rsidRPr="00D4457B">
        <w:rPr>
          <w:color w:val="333333"/>
          <w:sz w:val="28"/>
          <w:szCs w:val="28"/>
        </w:rPr>
        <w:t xml:space="preserve"> (Instituting)</w:t>
      </w:r>
      <w:r w:rsidRPr="00D4457B">
        <w:rPr>
          <w:color w:val="333333"/>
          <w:sz w:val="28"/>
          <w:szCs w:val="28"/>
          <w:rtl/>
        </w:rPr>
        <w:t>، ويعني المصطلح استحالة الهروب من المؤسسة، بدلالة أنه لايمكن محاربة المؤسسة إلا بواسطة مساءلة المؤسسة نفسها</w:t>
      </w:r>
      <w:r w:rsidRPr="00D4457B">
        <w:rPr>
          <w:color w:val="333333"/>
          <w:sz w:val="28"/>
          <w:szCs w:val="28"/>
        </w:rPr>
        <w:t>.#</w:t>
      </w:r>
    </w:p>
    <w:p w:rsidR="00D4457B" w:rsidRPr="00D4457B" w:rsidRDefault="00D4457B" w:rsidP="00D4457B">
      <w:pPr>
        <w:pStyle w:val="NormalWeb"/>
        <w:shd w:val="clear" w:color="auto" w:fill="FFFFFF"/>
        <w:spacing w:before="0" w:beforeAutospacing="0" w:after="343" w:afterAutospacing="0"/>
        <w:jc w:val="right"/>
        <w:rPr>
          <w:color w:val="333333"/>
          <w:sz w:val="28"/>
          <w:szCs w:val="28"/>
        </w:rPr>
      </w:pPr>
      <w:r w:rsidRPr="00D4457B">
        <w:rPr>
          <w:color w:val="333333"/>
          <w:sz w:val="28"/>
          <w:szCs w:val="28"/>
          <w:rtl/>
        </w:rPr>
        <w:t>ومن أهم النقاد العرب الذين انبهروا بالنقد الثقافي عند فانسان ليتش هو الناقد السعودي عبد الله محمد الغذامي في مجموعة من كتبه النظرية والتطبيقية، مثل: " " النقد الثقافي: قراءة في الأنساق الثقافية الغربية" (2000م)، وكتاب :" تأنيث القصيدة والقارىء المختلف"(1999م)#، وكتاب:" نقد ثقافي أم نقد أدبي" (2004م</w:t>
      </w:r>
      <w:r w:rsidRPr="00D4457B">
        <w:rPr>
          <w:color w:val="333333"/>
          <w:sz w:val="28"/>
          <w:szCs w:val="28"/>
        </w:rPr>
        <w:t>)...</w:t>
      </w:r>
    </w:p>
    <w:p w:rsidR="00647D51" w:rsidRPr="00D4457B" w:rsidRDefault="00647D51" w:rsidP="00D4457B">
      <w:pPr>
        <w:jc w:val="right"/>
        <w:rPr>
          <w:sz w:val="28"/>
          <w:szCs w:val="28"/>
        </w:rPr>
      </w:pPr>
    </w:p>
    <w:sectPr w:rsidR="00647D51" w:rsidRPr="00D445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7B"/>
    <w:rsid w:val="00647D51"/>
    <w:rsid w:val="00D44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5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5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35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Company>2o1O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mayawi</dc:creator>
  <cp:lastModifiedBy>mayawi</cp:lastModifiedBy>
  <cp:revision>1</cp:revision>
  <dcterms:created xsi:type="dcterms:W3CDTF">2018-01-05T06:03:00Z</dcterms:created>
  <dcterms:modified xsi:type="dcterms:W3CDTF">2018-01-05T06:04:00Z</dcterms:modified>
</cp:coreProperties>
</file>