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F1" w:rsidRPr="00AB5579" w:rsidRDefault="000A45F1" w:rsidP="000A45F1">
      <w:pPr>
        <w:spacing w:line="240" w:lineRule="auto"/>
        <w:jc w:val="center"/>
        <w:rPr>
          <w:rFonts w:ascii="Simplified Arabic" w:hAnsi="Simplified Arabic" w:cs="Simplified Arabic" w:hint="cs"/>
          <w:b/>
          <w:bCs/>
          <w:sz w:val="96"/>
          <w:szCs w:val="96"/>
          <w:rtl/>
          <w:lang w:bidi="ar-IQ"/>
        </w:rPr>
      </w:pPr>
      <w:r w:rsidRPr="00AB5579">
        <w:rPr>
          <w:rFonts w:ascii="Simplified Arabic" w:hAnsi="Simplified Arabic" w:cs="Simplified Arabic"/>
          <w:b/>
          <w:bCs/>
          <w:sz w:val="96"/>
          <w:szCs w:val="96"/>
          <w:rtl/>
          <w:lang w:bidi="ar-IQ"/>
        </w:rPr>
        <w:t>محاضرات</w:t>
      </w:r>
    </w:p>
    <w:p w:rsidR="000A45F1" w:rsidRPr="00AB5579" w:rsidRDefault="000A45F1" w:rsidP="000A45F1">
      <w:pPr>
        <w:spacing w:line="240" w:lineRule="auto"/>
        <w:jc w:val="both"/>
        <w:rPr>
          <w:rFonts w:ascii="Simplified Arabic" w:hAnsi="Simplified Arabic" w:cs="Simplified Arabic"/>
          <w:b/>
          <w:bCs/>
          <w:sz w:val="96"/>
          <w:szCs w:val="96"/>
          <w:rtl/>
          <w:lang w:bidi="ar-IQ"/>
        </w:rPr>
      </w:pPr>
      <w:r w:rsidRPr="00AB5579">
        <w:rPr>
          <w:rFonts w:ascii="Simplified Arabic" w:hAnsi="Simplified Arabic" w:cs="Simplified Arabic"/>
          <w:b/>
          <w:bCs/>
          <w:sz w:val="96"/>
          <w:szCs w:val="96"/>
          <w:rtl/>
          <w:lang w:bidi="ar-IQ"/>
        </w:rPr>
        <w:t>في الشعر العربي الحديث</w:t>
      </w:r>
    </w:p>
    <w:p w:rsidR="000A45F1" w:rsidRPr="00222617" w:rsidRDefault="000A45F1" w:rsidP="000A45F1">
      <w:pPr>
        <w:spacing w:line="240" w:lineRule="auto"/>
        <w:jc w:val="both"/>
        <w:rPr>
          <w:rFonts w:ascii="Simplified Arabic" w:hAnsi="Simplified Arabic" w:cs="Simplified Arabic"/>
          <w:b/>
          <w:bCs/>
          <w:sz w:val="48"/>
          <w:szCs w:val="48"/>
          <w:rtl/>
          <w:lang w:bidi="ar-IQ"/>
        </w:rPr>
      </w:pPr>
    </w:p>
    <w:p w:rsidR="000A45F1" w:rsidRPr="00222617" w:rsidRDefault="000A45F1" w:rsidP="000A45F1">
      <w:pPr>
        <w:spacing w:line="240" w:lineRule="auto"/>
        <w:jc w:val="both"/>
        <w:rPr>
          <w:rFonts w:ascii="Simplified Arabic" w:hAnsi="Simplified Arabic" w:cs="Simplified Arabic"/>
          <w:b/>
          <w:bCs/>
          <w:sz w:val="48"/>
          <w:szCs w:val="48"/>
          <w:rtl/>
          <w:lang w:bidi="ar-IQ"/>
        </w:rPr>
      </w:pPr>
    </w:p>
    <w:p w:rsidR="000A45F1" w:rsidRPr="00AB5579" w:rsidRDefault="000A45F1" w:rsidP="000A45F1">
      <w:pPr>
        <w:spacing w:line="240" w:lineRule="auto"/>
        <w:jc w:val="center"/>
        <w:rPr>
          <w:rFonts w:ascii="Simplified Arabic" w:hAnsi="Simplified Arabic" w:cs="Simplified Arabic"/>
          <w:b/>
          <w:bCs/>
          <w:sz w:val="96"/>
          <w:szCs w:val="96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96"/>
          <w:szCs w:val="96"/>
          <w:rtl/>
          <w:lang w:bidi="ar-IQ"/>
        </w:rPr>
        <w:t>د. باسم صالح</w:t>
      </w:r>
    </w:p>
    <w:p w:rsidR="000A45F1" w:rsidRDefault="000A45F1" w:rsidP="000A45F1">
      <w:pPr>
        <w:spacing w:line="24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0A45F1" w:rsidRDefault="000A45F1" w:rsidP="000A45F1">
      <w:pPr>
        <w:spacing w:line="24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0A45F1" w:rsidRDefault="000A45F1" w:rsidP="000A45F1">
      <w:pPr>
        <w:spacing w:line="24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0A45F1" w:rsidRDefault="000A45F1" w:rsidP="000A45F1">
      <w:pPr>
        <w:spacing w:line="24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0A45F1" w:rsidRPr="00222617" w:rsidRDefault="000A45F1" w:rsidP="000A45F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0A45F1" w:rsidRDefault="000A45F1" w:rsidP="000A45F1">
      <w:pPr>
        <w:spacing w:line="24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0A45F1" w:rsidRPr="00222617" w:rsidRDefault="000A45F1" w:rsidP="000A45F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0A45F1" w:rsidRPr="00222617" w:rsidRDefault="000A45F1" w:rsidP="000A45F1">
      <w:pPr>
        <w:spacing w:line="240" w:lineRule="auto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مفردات المنهج</w:t>
      </w:r>
    </w:p>
    <w:p w:rsidR="000A45F1" w:rsidRPr="00222617" w:rsidRDefault="000A45F1" w:rsidP="000A45F1">
      <w:pPr>
        <w:spacing w:line="240" w:lineRule="auto"/>
        <w:jc w:val="both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0A45F1" w:rsidRPr="00222617" w:rsidRDefault="000A45F1" w:rsidP="000A45F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الشعر العربي الحديث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عوامل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مقومات نهضة الشعر العربي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0A45F1" w:rsidRPr="00222617" w:rsidRDefault="000A45F1" w:rsidP="000A45F1">
      <w:pPr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يقظة الأمة العربية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A45F1" w:rsidRPr="00222617" w:rsidRDefault="000A45F1" w:rsidP="000A45F1">
      <w:pPr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الحملة الفرنسية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0A45F1" w:rsidRPr="00222617" w:rsidRDefault="000A45F1" w:rsidP="000A45F1">
      <w:pPr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الطباعة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A45F1" w:rsidRPr="00222617" w:rsidRDefault="000A45F1" w:rsidP="000A45F1">
      <w:pPr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الصحافة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A45F1" w:rsidRPr="00222617" w:rsidRDefault="000A45F1" w:rsidP="000A45F1">
      <w:pPr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هـ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الترجمة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البحوث العلمية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A45F1" w:rsidRPr="00222617" w:rsidRDefault="000A45F1" w:rsidP="000A45F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خصائص الشعر العربي الحديث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أغراضه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.</w:t>
      </w:r>
    </w:p>
    <w:p w:rsidR="000A45F1" w:rsidRPr="00222617" w:rsidRDefault="000A45F1" w:rsidP="000A45F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مراحل تطور الشعر العربي الحديث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0A45F1" w:rsidRPr="00222617" w:rsidRDefault="000A45F1" w:rsidP="000A45F1">
      <w:pPr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الكلاسيكية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بعث الشعر العربي القديم مع ملاحظة الكلاسيكية الجديدة عند المجددين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:-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محمود سامي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البارودي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احمد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شوقي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حافظ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إبراهيم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الرصافي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رشيد سليم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الخوري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الزهاوي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A45F1" w:rsidRPr="00222617" w:rsidRDefault="000A45F1" w:rsidP="000A45F1">
      <w:pPr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الرومانسية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0A45F1" w:rsidRPr="00222617" w:rsidRDefault="000A45F1" w:rsidP="000A45F1">
      <w:pPr>
        <w:pStyle w:val="a3"/>
        <w:numPr>
          <w:ilvl w:val="0"/>
          <w:numId w:val="2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جماعة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الديوان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العقاد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عبد الرحمن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شكري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المازني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A45F1" w:rsidRPr="00222617" w:rsidRDefault="000A45F1" w:rsidP="000A45F1">
      <w:pPr>
        <w:pStyle w:val="a3"/>
        <w:numPr>
          <w:ilvl w:val="0"/>
          <w:numId w:val="2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جماعة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ابول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إبراهيم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ناجي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علي محمود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طه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القاسم الشابي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0A45F1" w:rsidRPr="00222617" w:rsidRDefault="000A45F1" w:rsidP="000A45F1">
      <w:pPr>
        <w:pStyle w:val="a3"/>
        <w:numPr>
          <w:ilvl w:val="0"/>
          <w:numId w:val="2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شعر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المهجر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إيليا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ماضي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جبران خليل جبران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A45F1" w:rsidRPr="00222617" w:rsidRDefault="000A45F1" w:rsidP="000A45F1">
      <w:pPr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الواقعية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0A45F1" w:rsidRPr="00222617" w:rsidRDefault="000A45F1" w:rsidP="000A45F1">
      <w:pPr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حركة الشعر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الحر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نازك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الملائكة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بدر شاكر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السياب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عبد الوهاب البياتي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0A45F1" w:rsidRPr="00222617" w:rsidRDefault="000A45F1" w:rsidP="000A45F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A45F1" w:rsidRPr="00222617" w:rsidRDefault="000A45F1" w:rsidP="000A45F1">
      <w:pPr>
        <w:spacing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</w:p>
    <w:p w:rsidR="000A45F1" w:rsidRPr="00222617" w:rsidRDefault="000A45F1" w:rsidP="000A45F1">
      <w:pPr>
        <w:spacing w:line="240" w:lineRule="auto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مفهوم </w:t>
      </w:r>
      <w:proofErr w:type="spellStart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الحداثة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:</w:t>
      </w: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</w:p>
    <w:p w:rsidR="000A45F1" w:rsidRPr="00222617" w:rsidRDefault="000A45F1" w:rsidP="000A45F1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الحداثة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تحولات تاريخية تجري في افق بنية الأدب تقع عند منعطف فكري 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فلسفي يتزامن مع تغيرات في بنية المجتمع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على هذا الأساس فالحداثة تحتوي التجديد لان الاخير ما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تجريب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لأشكال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أدبية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فنية تح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ول ان تأخذ شرعيتها  في تاريخ الأدب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A45F1" w:rsidRPr="00222617" w:rsidRDefault="000A45F1" w:rsidP="000A45F1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الجِدة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الجديد يرتبط بالتجريب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فالاديب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يحاول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يجرب اشياء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جديدة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التجديد لا يكون حديثا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عندما يقوم على مفاهيم فكرية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فلسفية جديدة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هذا يعني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كل حديث جديد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لان الحداثة تضم الحديث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الجديد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لكن ليس كل جديد حديثا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0A45F1" w:rsidRPr="00222617" w:rsidRDefault="000A45F1" w:rsidP="000A45F1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المعاصرة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هي مفهوم زمني يكون في كنف الاديب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ليس في كنف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الأدب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فالجواهري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مثلا معاصر من الناحية الزمنية عباسي من الناحية الفنية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A45F1" w:rsidRPr="00222617" w:rsidRDefault="000A45F1" w:rsidP="000A45F1">
      <w:pPr>
        <w:spacing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الشعر العربي </w:t>
      </w:r>
      <w:proofErr w:type="spellStart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الحديث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</w:p>
    <w:p w:rsidR="000A45F1" w:rsidRPr="00222617" w:rsidRDefault="000A45F1" w:rsidP="000A45F1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كل شعر قيل بعد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بداية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عصر النهضة أي بعد الحملة الفرنسية على مصر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A45F1" w:rsidRPr="00222617" w:rsidRDefault="000A45F1" w:rsidP="000A45F1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النهضة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هي تعني عند المؤرخين الحركة التي تهدف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بعث الثقافات القديمة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منها جاء الاتجاه الفكري الجديد عند العرب الذي يعني البعث 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الإحياء 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الميلاد الجديد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A45F1" w:rsidRPr="00222617" w:rsidRDefault="000A45F1" w:rsidP="000A45F1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على هذا قام مصطلح النهضة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البعث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الإحياء في الأدب العربي الحديث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الذي يعني إحياء التراث العربي القديم بما فيه من اصالة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حيوية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خلود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0A45F1" w:rsidRPr="00222617" w:rsidRDefault="000A45F1" w:rsidP="000A45F1">
      <w:pPr>
        <w:spacing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عوامل النهضة في الأدب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العربي</w:t>
      </w: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</w:p>
    <w:p w:rsidR="000A45F1" w:rsidRPr="00222617" w:rsidRDefault="000A45F1" w:rsidP="000A45F1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1ـ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الحملة الفرنسية على مصر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1798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1801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هي التي قام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نابليون على مصر لموقعها الاستراتيجي فجلب نابليون معه العديد من العلماء الذين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ساهموا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إحياء النهضة الفكرية في مصر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ساعدت المصريين في الإطلاع على مختلف العلوم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A45F1" w:rsidRPr="00222617" w:rsidRDefault="000A45F1" w:rsidP="000A45F1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 ـ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الترجمة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بعد فشل نابليون في حملته على مصر تولى الحكم محمد علي باشا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كان محمد علي كثير التأثر بالحضارة الأوروبية فقام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بارسال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البعثات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الخارج للدراسة في مختلف المجالات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ساعد هذا الإطلاع على القيام بترجمة العديد من الكتب من اللغات المختلفة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العربية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 في مقدمة المترجمين رفاعة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الطهطاوي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 </w:t>
      </w:r>
    </w:p>
    <w:p w:rsidR="000A45F1" w:rsidRPr="00222617" w:rsidRDefault="000A45F1" w:rsidP="000A45F1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 ـ انتشار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الطباعة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ساعدت المطابع على انتشار الكثير من الكتب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ظهور الصحف بشكل ملحوظ 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احدثت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هذا المطابع تطورا هائلا فقد تم تحويل المخطوطات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كتب مطبوعة انتشرت بين الناس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A45F1" w:rsidRPr="00222617" w:rsidRDefault="000A45F1" w:rsidP="000A45F1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4 ـ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الصحافة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هي من عوامل النهضة الأوروبية التي ساعدت في توصيل النتاج الأدبي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القارئ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هي سريعة الانتشار استطاعت ان تلعب دورا كبيرا في نشر الثقافة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الفكر الأدبي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0A45F1" w:rsidRPr="00222617" w:rsidRDefault="000A45F1" w:rsidP="000A45F1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5 ـ التحرر الديني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السياسي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انفتاح العرب على الديانات الاخرى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السياسات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تكوين الاحزاب السياسية الجديدة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3187F"/>
    <w:multiLevelType w:val="hybridMultilevel"/>
    <w:tmpl w:val="2788ED74"/>
    <w:lvl w:ilvl="0" w:tplc="837CC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F228A"/>
    <w:multiLevelType w:val="hybridMultilevel"/>
    <w:tmpl w:val="D5EC6A72"/>
    <w:lvl w:ilvl="0" w:tplc="28580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A45F1"/>
    <w:rsid w:val="000A45F1"/>
    <w:rsid w:val="00555538"/>
    <w:rsid w:val="009C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F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2308</Characters>
  <Application>Microsoft Office Word</Application>
  <DocSecurity>0</DocSecurity>
  <Lines>19</Lines>
  <Paragraphs>5</Paragraphs>
  <ScaleCrop>false</ScaleCrop>
  <Company>Microsoft (C)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2018-01-13T12:44:00Z</dcterms:created>
  <dcterms:modified xsi:type="dcterms:W3CDTF">2018-01-13T12:44:00Z</dcterms:modified>
</cp:coreProperties>
</file>